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57417D">
      <w:pPr>
        <w:rPr>
          <w:rFonts w:hint="eastAsia"/>
          <w:highlight w:val="none"/>
        </w:rPr>
      </w:pPr>
      <w:bookmarkStart w:id="0" w:name="EBecaa0fa8a3034511a17880192c07d5d6"/>
      <w:r>
        <w:rPr>
          <w:rFonts w:hint="eastAsia"/>
          <w:color w:val="000080"/>
          <w:sz w:val="20"/>
          <w:highlight w:val="none"/>
        </w:rPr>
        <w:t xml:space="preserve"> </w:t>
      </w:r>
      <w:bookmarkEnd w:id="0"/>
      <w:bookmarkStart w:id="1" w:name="EB9794f1daad274a9b85f307e8b60057cd"/>
      <w:r>
        <w:rPr>
          <w:rFonts w:hint="eastAsia"/>
          <w:color w:val="000080"/>
          <w:sz w:val="20"/>
          <w:highlight w:val="none"/>
        </w:rPr>
        <w:t xml:space="preserve"> </w:t>
      </w:r>
      <w:bookmarkEnd w:id="1"/>
    </w:p>
    <w:p w14:paraId="3E6EF785">
      <w:pPr>
        <w:rPr>
          <w:highlight w:val="none"/>
        </w:rPr>
      </w:pPr>
    </w:p>
    <w:p w14:paraId="75FB4799">
      <w:pPr>
        <w:spacing w:line="360" w:lineRule="auto"/>
        <w:jc w:val="center"/>
        <w:rPr>
          <w:rFonts w:ascii="宋体" w:hAnsi="宋体"/>
          <w:b/>
          <w:color w:val="000000"/>
          <w:sz w:val="84"/>
          <w:highlight w:val="none"/>
        </w:rPr>
      </w:pPr>
      <w:r>
        <w:rPr>
          <w:rFonts w:hint="eastAsia" w:ascii="宋体" w:hAnsi="宋体"/>
          <w:b/>
          <w:color w:val="000000"/>
          <w:sz w:val="84"/>
          <w:highlight w:val="none"/>
        </w:rPr>
        <w:t>磋   商  文   件</w:t>
      </w:r>
    </w:p>
    <w:p w14:paraId="707A7A2C">
      <w:pPr>
        <w:spacing w:line="360" w:lineRule="auto"/>
        <w:jc w:val="center"/>
        <w:rPr>
          <w:rFonts w:ascii="宋体" w:hAnsi="宋体"/>
          <w:color w:val="000000"/>
          <w:sz w:val="32"/>
          <w:highlight w:val="none"/>
        </w:rPr>
      </w:pPr>
    </w:p>
    <w:p w14:paraId="5BA0DA4D">
      <w:pPr>
        <w:spacing w:line="360" w:lineRule="auto"/>
        <w:jc w:val="center"/>
        <w:rPr>
          <w:rFonts w:ascii="宋体" w:hAnsi="宋体" w:eastAsia="宋体" w:cs="Times New Roman"/>
          <w:b/>
          <w:color w:val="000000"/>
          <w:sz w:val="36"/>
          <w:highlight w:val="none"/>
          <w:lang w:val="en-US" w:eastAsia="zh-CN"/>
        </w:rPr>
      </w:pPr>
      <w:r>
        <w:rPr>
          <w:rFonts w:hint="eastAsia" w:ascii="宋体" w:hAnsi="宋体"/>
          <w:color w:val="000000"/>
          <w:sz w:val="32"/>
          <w:highlight w:val="none"/>
          <w:lang w:val="en-US" w:eastAsia="zh-CN"/>
        </w:rPr>
        <w:t xml:space="preserve"> </w:t>
      </w:r>
      <w:r>
        <w:rPr>
          <w:rFonts w:hint="eastAsia" w:ascii="宋体" w:hAnsi="宋体" w:eastAsia="宋体" w:cs="Times New Roman"/>
          <w:b/>
          <w:color w:val="000000"/>
          <w:sz w:val="36"/>
          <w:highlight w:val="none"/>
          <w:lang w:val="en-US" w:eastAsia="zh-CN"/>
        </w:rPr>
        <w:t>项目编号：</w:t>
      </w:r>
      <w:r>
        <w:rPr>
          <w:rFonts w:hint="eastAsia" w:cs="Times New Roman"/>
          <w:b/>
          <w:color w:val="000000"/>
          <w:sz w:val="36"/>
          <w:highlight w:val="none"/>
          <w:lang w:val="en-US" w:eastAsia="zh-CN"/>
        </w:rPr>
        <w:t>JSZC-321181-ZDDL-C2025-0015</w:t>
      </w:r>
      <w:r>
        <w:rPr>
          <w:rFonts w:hint="eastAsia" w:ascii="宋体" w:hAnsi="宋体" w:eastAsia="宋体" w:cs="Times New Roman"/>
          <w:b/>
          <w:color w:val="000000"/>
          <w:sz w:val="36"/>
          <w:highlight w:val="none"/>
          <w:lang w:val="en-US" w:eastAsia="zh-CN"/>
        </w:rPr>
        <w:t xml:space="preserve"> </w:t>
      </w:r>
    </w:p>
    <w:p w14:paraId="21A9EF3E">
      <w:pPr>
        <w:spacing w:line="360" w:lineRule="auto"/>
        <w:jc w:val="center"/>
        <w:rPr>
          <w:rFonts w:ascii="宋体" w:hAnsi="宋体"/>
          <w:color w:val="000000"/>
          <w:sz w:val="32"/>
          <w:highlight w:val="none"/>
        </w:rPr>
      </w:pPr>
    </w:p>
    <w:p w14:paraId="5C99C5C5">
      <w:pPr>
        <w:spacing w:line="360" w:lineRule="auto"/>
        <w:ind w:right="630"/>
        <w:jc w:val="center"/>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项目名称：</w:t>
      </w:r>
      <w:r>
        <w:rPr>
          <w:rFonts w:hint="eastAsia"/>
          <w:b/>
          <w:color w:val="000000"/>
          <w:sz w:val="36"/>
          <w:highlight w:val="none"/>
          <w:lang w:eastAsia="zh-CN"/>
        </w:rPr>
        <w:t>丹阳市人民医院高压配电房及10KV高压专线（双路）运维服务项目</w:t>
      </w:r>
    </w:p>
    <w:p w14:paraId="0337FFDD">
      <w:pPr>
        <w:spacing w:line="360" w:lineRule="auto"/>
        <w:ind w:left="630" w:right="630"/>
        <w:jc w:val="center"/>
        <w:rPr>
          <w:rFonts w:ascii="宋体" w:hAnsi="宋体"/>
          <w:b/>
          <w:color w:val="000000"/>
          <w:sz w:val="36"/>
          <w:szCs w:val="36"/>
          <w:highlight w:val="none"/>
        </w:rPr>
      </w:pPr>
    </w:p>
    <w:p w14:paraId="6D5DA9BC">
      <w:pPr>
        <w:spacing w:line="360" w:lineRule="auto"/>
        <w:ind w:left="630" w:right="630"/>
        <w:jc w:val="center"/>
        <w:rPr>
          <w:rFonts w:ascii="宋体" w:hAnsi="宋体"/>
          <w:b/>
          <w:color w:val="000000"/>
          <w:sz w:val="36"/>
          <w:szCs w:val="36"/>
          <w:highlight w:val="none"/>
        </w:rPr>
      </w:pPr>
    </w:p>
    <w:p w14:paraId="26590F2B">
      <w:pPr>
        <w:spacing w:line="360" w:lineRule="auto"/>
        <w:ind w:left="630" w:right="630"/>
        <w:jc w:val="center"/>
        <w:rPr>
          <w:rFonts w:hint="eastAsia" w:ascii="宋体" w:hAnsi="宋体" w:eastAsia="宋体"/>
          <w:b/>
          <w:color w:val="000000"/>
          <w:sz w:val="36"/>
          <w:szCs w:val="36"/>
          <w:highlight w:val="none"/>
          <w:lang w:eastAsia="zh-CN"/>
        </w:rPr>
      </w:pPr>
      <w:r>
        <w:rPr>
          <w:rFonts w:hint="eastAsia" w:ascii="宋体" w:hAnsi="宋体"/>
          <w:b/>
          <w:color w:val="000000"/>
          <w:sz w:val="36"/>
          <w:highlight w:val="none"/>
        </w:rPr>
        <w:t>采购人：</w:t>
      </w:r>
      <w:r>
        <w:rPr>
          <w:rFonts w:hint="eastAsia"/>
          <w:b/>
          <w:color w:val="000000"/>
          <w:sz w:val="36"/>
          <w:highlight w:val="none"/>
          <w:lang w:eastAsia="zh-CN"/>
        </w:rPr>
        <w:t>丹阳市人民医院</w:t>
      </w:r>
    </w:p>
    <w:p w14:paraId="0E87EED9">
      <w:pPr>
        <w:spacing w:line="360" w:lineRule="auto"/>
        <w:jc w:val="center"/>
        <w:rPr>
          <w:rFonts w:ascii="宋体" w:hAnsi="宋体"/>
          <w:b/>
          <w:color w:val="000000"/>
          <w:sz w:val="36"/>
          <w:highlight w:val="none"/>
        </w:rPr>
      </w:pPr>
    </w:p>
    <w:p w14:paraId="3F3F09F7">
      <w:pPr>
        <w:spacing w:line="360" w:lineRule="auto"/>
        <w:jc w:val="center"/>
        <w:rPr>
          <w:rFonts w:ascii="宋体" w:hAnsi="宋体"/>
          <w:b/>
          <w:color w:val="000000"/>
          <w:sz w:val="36"/>
          <w:highlight w:val="none"/>
        </w:rPr>
      </w:pPr>
      <w:r>
        <w:rPr>
          <w:rFonts w:hint="eastAsia" w:ascii="宋体" w:hAnsi="宋体"/>
          <w:b/>
          <w:color w:val="000000"/>
          <w:sz w:val="36"/>
          <w:highlight w:val="none"/>
        </w:rPr>
        <w:t>采购代理机构：江苏正德建设管理有限公司</w:t>
      </w:r>
    </w:p>
    <w:p w14:paraId="3BAD8EA7">
      <w:pPr>
        <w:spacing w:line="360" w:lineRule="auto"/>
        <w:jc w:val="center"/>
        <w:rPr>
          <w:rFonts w:ascii="宋体" w:hAnsi="宋体"/>
          <w:b/>
          <w:color w:val="000000"/>
          <w:sz w:val="36"/>
          <w:szCs w:val="36"/>
          <w:highlight w:val="none"/>
        </w:rPr>
      </w:pPr>
      <w:bookmarkStart w:id="2" w:name="EBe098a072a19f453e8556e008bace2ce7"/>
      <w:r>
        <w:rPr>
          <w:rFonts w:hint="eastAsia" w:ascii="宋体" w:hAnsi="宋体"/>
          <w:b/>
          <w:color w:val="000000"/>
          <w:sz w:val="36"/>
          <w:szCs w:val="36"/>
          <w:highlight w:val="none"/>
          <w:lang w:eastAsia="zh-CN"/>
        </w:rPr>
        <w:t>202</w:t>
      </w:r>
      <w:r>
        <w:rPr>
          <w:rFonts w:hint="eastAsia" w:ascii="宋体" w:hAnsi="宋体"/>
          <w:b/>
          <w:color w:val="000000"/>
          <w:sz w:val="36"/>
          <w:szCs w:val="36"/>
          <w:highlight w:val="none"/>
          <w:lang w:val="en-US" w:eastAsia="zh-CN"/>
        </w:rPr>
        <w:t>5</w:t>
      </w:r>
      <w:r>
        <w:rPr>
          <w:rFonts w:hint="eastAsia" w:ascii="宋体" w:hAnsi="宋体"/>
          <w:b/>
          <w:color w:val="000000"/>
          <w:sz w:val="36"/>
          <w:szCs w:val="36"/>
          <w:highlight w:val="none"/>
        </w:rPr>
        <w:t>年</w:t>
      </w:r>
      <w:bookmarkEnd w:id="2"/>
      <w:r>
        <w:rPr>
          <w:rFonts w:hint="eastAsia" w:ascii="宋体" w:hAnsi="宋体"/>
          <w:b/>
          <w:color w:val="000000"/>
          <w:sz w:val="36"/>
          <w:szCs w:val="36"/>
          <w:highlight w:val="none"/>
          <w:lang w:val="en-US" w:eastAsia="zh-CN"/>
        </w:rPr>
        <w:t xml:space="preserve"> </w:t>
      </w:r>
      <w:r>
        <w:rPr>
          <w:rFonts w:hint="eastAsia"/>
          <w:b/>
          <w:color w:val="000000"/>
          <w:sz w:val="36"/>
          <w:szCs w:val="36"/>
          <w:highlight w:val="none"/>
          <w:lang w:val="en-US" w:eastAsia="zh-CN"/>
        </w:rPr>
        <w:t>11</w:t>
      </w:r>
      <w:r>
        <w:rPr>
          <w:rFonts w:hint="eastAsia" w:ascii="宋体" w:hAnsi="宋体"/>
          <w:b/>
          <w:color w:val="000000"/>
          <w:sz w:val="36"/>
          <w:szCs w:val="36"/>
          <w:highlight w:val="none"/>
        </w:rPr>
        <w:t>月</w:t>
      </w:r>
      <w:r>
        <w:rPr>
          <w:rFonts w:hint="eastAsia"/>
          <w:b/>
          <w:color w:val="000000"/>
          <w:sz w:val="36"/>
          <w:szCs w:val="36"/>
          <w:highlight w:val="none"/>
          <w:lang w:val="en-US" w:eastAsia="zh-CN"/>
        </w:rPr>
        <w:t xml:space="preserve"> 25 </w:t>
      </w:r>
      <w:r>
        <w:rPr>
          <w:rFonts w:hint="eastAsia" w:ascii="宋体" w:hAnsi="宋体"/>
          <w:b/>
          <w:color w:val="000000"/>
          <w:sz w:val="36"/>
          <w:szCs w:val="36"/>
          <w:highlight w:val="none"/>
        </w:rPr>
        <w:t>日</w:t>
      </w:r>
    </w:p>
    <w:p w14:paraId="6CA1A5C3">
      <w:pPr>
        <w:rPr>
          <w:highlight w:val="none"/>
        </w:rPr>
      </w:pPr>
    </w:p>
    <w:p w14:paraId="3823C9D3">
      <w:pPr>
        <w:jc w:val="center"/>
        <w:rPr>
          <w:rFonts w:ascii="宋体" w:hAnsi="宋体"/>
          <w:b/>
          <w:bCs/>
          <w:color w:val="000000"/>
          <w:sz w:val="36"/>
          <w:szCs w:val="36"/>
          <w:highlight w:val="none"/>
        </w:rPr>
      </w:pPr>
      <w:bookmarkStart w:id="3" w:name="EB3b9a7b39d96b4fa5a1ca6e66d21db5c3"/>
      <w:bookmarkEnd w:id="3"/>
      <w:r>
        <w:rPr>
          <w:rFonts w:hint="eastAsia" w:ascii="宋体" w:hAnsi="宋体"/>
          <w:b/>
          <w:bCs/>
          <w:color w:val="000000"/>
          <w:sz w:val="36"/>
          <w:szCs w:val="36"/>
          <w:highlight w:val="none"/>
        </w:rPr>
        <w:t>磋商文件目录</w:t>
      </w:r>
    </w:p>
    <w:p w14:paraId="2A65AFD8">
      <w:pPr>
        <w:pStyle w:val="222"/>
        <w:tabs>
          <w:tab w:val="right" w:leader="dot" w:pos="9366"/>
        </w:tabs>
        <w:rPr>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_Toc1038 </w:instrText>
      </w:r>
      <w:r>
        <w:rPr>
          <w:highlight w:val="none"/>
        </w:rPr>
        <w:fldChar w:fldCharType="separate"/>
      </w:r>
      <w:r>
        <w:rPr>
          <w:rFonts w:hint="eastAsia" w:ascii="宋体" w:hAnsi="宋体"/>
          <w:highlight w:val="none"/>
        </w:rPr>
        <w:t>第一部分  磋商邀请</w:t>
      </w:r>
      <w:r>
        <w:rPr>
          <w:highlight w:val="none"/>
        </w:rPr>
        <w:tab/>
      </w:r>
      <w:r>
        <w:rPr>
          <w:highlight w:val="none"/>
        </w:rPr>
        <w:fldChar w:fldCharType="begin"/>
      </w:r>
      <w:r>
        <w:rPr>
          <w:highlight w:val="none"/>
        </w:rPr>
        <w:instrText xml:space="preserve"> PAGEREF _Toc1038 \h </w:instrText>
      </w:r>
      <w:r>
        <w:rPr>
          <w:highlight w:val="none"/>
        </w:rPr>
        <w:fldChar w:fldCharType="separate"/>
      </w:r>
      <w:r>
        <w:rPr>
          <w:highlight w:val="none"/>
        </w:rPr>
        <w:t>7</w:t>
      </w:r>
      <w:r>
        <w:rPr>
          <w:highlight w:val="none"/>
        </w:rPr>
        <w:fldChar w:fldCharType="end"/>
      </w:r>
      <w:r>
        <w:rPr>
          <w:highlight w:val="none"/>
        </w:rPr>
        <w:fldChar w:fldCharType="end"/>
      </w:r>
    </w:p>
    <w:p w14:paraId="6955ADB3">
      <w:pPr>
        <w:pStyle w:val="229"/>
        <w:tabs>
          <w:tab w:val="right" w:leader="dot" w:pos="9366"/>
        </w:tabs>
        <w:rPr>
          <w:highlight w:val="none"/>
        </w:rPr>
      </w:pPr>
      <w:r>
        <w:rPr>
          <w:highlight w:val="none"/>
        </w:rPr>
        <w:fldChar w:fldCharType="begin"/>
      </w:r>
      <w:r>
        <w:rPr>
          <w:highlight w:val="none"/>
        </w:rPr>
        <w:instrText xml:space="preserve"> HYPERLINK \l _Toc8196 </w:instrText>
      </w:r>
      <w:r>
        <w:rPr>
          <w:highlight w:val="none"/>
        </w:rPr>
        <w:fldChar w:fldCharType="separate"/>
      </w:r>
      <w:r>
        <w:rPr>
          <w:rFonts w:hint="eastAsia" w:ascii="宋体" w:hAnsi="宋体" w:eastAsia="宋体"/>
          <w:highlight w:val="none"/>
        </w:rPr>
        <w:t>一、项目基本情况</w:t>
      </w:r>
      <w:r>
        <w:rPr>
          <w:highlight w:val="none"/>
        </w:rPr>
        <w:tab/>
      </w:r>
      <w:r>
        <w:rPr>
          <w:highlight w:val="none"/>
        </w:rPr>
        <w:fldChar w:fldCharType="begin"/>
      </w:r>
      <w:r>
        <w:rPr>
          <w:highlight w:val="none"/>
        </w:rPr>
        <w:instrText xml:space="preserve"> PAGEREF _Toc8196 \h </w:instrText>
      </w:r>
      <w:r>
        <w:rPr>
          <w:highlight w:val="none"/>
        </w:rPr>
        <w:fldChar w:fldCharType="separate"/>
      </w:r>
      <w:r>
        <w:rPr>
          <w:highlight w:val="none"/>
        </w:rPr>
        <w:t>7</w:t>
      </w:r>
      <w:r>
        <w:rPr>
          <w:highlight w:val="none"/>
        </w:rPr>
        <w:fldChar w:fldCharType="end"/>
      </w:r>
      <w:r>
        <w:rPr>
          <w:highlight w:val="none"/>
        </w:rPr>
        <w:fldChar w:fldCharType="end"/>
      </w:r>
    </w:p>
    <w:p w14:paraId="7D97CC04">
      <w:pPr>
        <w:pStyle w:val="229"/>
        <w:tabs>
          <w:tab w:val="right" w:leader="dot" w:pos="9366"/>
        </w:tabs>
        <w:rPr>
          <w:highlight w:val="none"/>
        </w:rPr>
      </w:pPr>
      <w:r>
        <w:rPr>
          <w:highlight w:val="none"/>
        </w:rPr>
        <w:fldChar w:fldCharType="begin"/>
      </w:r>
      <w:r>
        <w:rPr>
          <w:highlight w:val="none"/>
        </w:rPr>
        <w:instrText xml:space="preserve"> HYPERLINK \l _Toc25187 </w:instrText>
      </w:r>
      <w:r>
        <w:rPr>
          <w:highlight w:val="none"/>
        </w:rPr>
        <w:fldChar w:fldCharType="separate"/>
      </w:r>
      <w:r>
        <w:rPr>
          <w:rFonts w:hint="eastAsia" w:ascii="宋体" w:hAnsi="宋体" w:eastAsia="宋体"/>
          <w:highlight w:val="none"/>
        </w:rPr>
        <w:t>二、申请人的资格要求：</w:t>
      </w:r>
      <w:r>
        <w:rPr>
          <w:highlight w:val="none"/>
        </w:rPr>
        <w:tab/>
      </w:r>
      <w:r>
        <w:rPr>
          <w:highlight w:val="none"/>
        </w:rPr>
        <w:fldChar w:fldCharType="begin"/>
      </w:r>
      <w:r>
        <w:rPr>
          <w:highlight w:val="none"/>
        </w:rPr>
        <w:instrText xml:space="preserve"> PAGEREF _Toc25187 \h </w:instrText>
      </w:r>
      <w:r>
        <w:rPr>
          <w:highlight w:val="none"/>
        </w:rPr>
        <w:fldChar w:fldCharType="separate"/>
      </w:r>
      <w:r>
        <w:rPr>
          <w:highlight w:val="none"/>
        </w:rPr>
        <w:t>7</w:t>
      </w:r>
      <w:r>
        <w:rPr>
          <w:highlight w:val="none"/>
        </w:rPr>
        <w:fldChar w:fldCharType="end"/>
      </w:r>
      <w:r>
        <w:rPr>
          <w:highlight w:val="none"/>
        </w:rPr>
        <w:fldChar w:fldCharType="end"/>
      </w:r>
    </w:p>
    <w:p w14:paraId="34D77E3C">
      <w:pPr>
        <w:pStyle w:val="229"/>
        <w:tabs>
          <w:tab w:val="right" w:leader="dot" w:pos="9366"/>
        </w:tabs>
        <w:rPr>
          <w:highlight w:val="none"/>
        </w:rPr>
      </w:pPr>
      <w:r>
        <w:rPr>
          <w:highlight w:val="none"/>
        </w:rPr>
        <w:fldChar w:fldCharType="begin"/>
      </w:r>
      <w:r>
        <w:rPr>
          <w:highlight w:val="none"/>
        </w:rPr>
        <w:instrText xml:space="preserve"> HYPERLINK \l _Toc25333 </w:instrText>
      </w:r>
      <w:r>
        <w:rPr>
          <w:highlight w:val="none"/>
        </w:rPr>
        <w:fldChar w:fldCharType="separate"/>
      </w:r>
      <w:r>
        <w:rPr>
          <w:rFonts w:hint="eastAsia" w:ascii="宋体" w:hAnsi="宋体" w:eastAsia="宋体" w:cs="Times New Roman"/>
          <w:highlight w:val="none"/>
        </w:rPr>
        <w:t>三、获取磋商文件</w:t>
      </w:r>
      <w:r>
        <w:rPr>
          <w:highlight w:val="none"/>
        </w:rPr>
        <w:tab/>
      </w:r>
      <w:r>
        <w:rPr>
          <w:highlight w:val="none"/>
        </w:rPr>
        <w:fldChar w:fldCharType="begin"/>
      </w:r>
      <w:r>
        <w:rPr>
          <w:highlight w:val="none"/>
        </w:rPr>
        <w:instrText xml:space="preserve"> PAGEREF _Toc25333 \h </w:instrText>
      </w:r>
      <w:r>
        <w:rPr>
          <w:highlight w:val="none"/>
        </w:rPr>
        <w:fldChar w:fldCharType="separate"/>
      </w:r>
      <w:r>
        <w:rPr>
          <w:highlight w:val="none"/>
        </w:rPr>
        <w:t>9</w:t>
      </w:r>
      <w:r>
        <w:rPr>
          <w:highlight w:val="none"/>
        </w:rPr>
        <w:fldChar w:fldCharType="end"/>
      </w:r>
      <w:r>
        <w:rPr>
          <w:highlight w:val="none"/>
        </w:rPr>
        <w:fldChar w:fldCharType="end"/>
      </w:r>
    </w:p>
    <w:p w14:paraId="315EE951">
      <w:pPr>
        <w:pStyle w:val="229"/>
        <w:tabs>
          <w:tab w:val="right" w:leader="dot" w:pos="9366"/>
        </w:tabs>
        <w:rPr>
          <w:highlight w:val="none"/>
        </w:rPr>
      </w:pPr>
      <w:r>
        <w:rPr>
          <w:highlight w:val="none"/>
        </w:rPr>
        <w:fldChar w:fldCharType="begin"/>
      </w:r>
      <w:r>
        <w:rPr>
          <w:highlight w:val="none"/>
        </w:rPr>
        <w:instrText xml:space="preserve"> HYPERLINK \l _Toc10974 </w:instrText>
      </w:r>
      <w:r>
        <w:rPr>
          <w:highlight w:val="none"/>
        </w:rPr>
        <w:fldChar w:fldCharType="separate"/>
      </w:r>
      <w:r>
        <w:rPr>
          <w:rFonts w:hint="eastAsia" w:ascii="宋体" w:hAnsi="宋体" w:eastAsia="宋体" w:cs="Times New Roman"/>
          <w:highlight w:val="none"/>
        </w:rPr>
        <w:t>四、首次响应文件提交</w:t>
      </w:r>
      <w:r>
        <w:rPr>
          <w:highlight w:val="none"/>
        </w:rPr>
        <w:tab/>
      </w:r>
      <w:r>
        <w:rPr>
          <w:highlight w:val="none"/>
        </w:rPr>
        <w:fldChar w:fldCharType="begin"/>
      </w:r>
      <w:r>
        <w:rPr>
          <w:highlight w:val="none"/>
        </w:rPr>
        <w:instrText xml:space="preserve"> PAGEREF _Toc10974 \h </w:instrText>
      </w:r>
      <w:r>
        <w:rPr>
          <w:highlight w:val="none"/>
        </w:rPr>
        <w:fldChar w:fldCharType="separate"/>
      </w:r>
      <w:r>
        <w:rPr>
          <w:highlight w:val="none"/>
        </w:rPr>
        <w:t>9</w:t>
      </w:r>
      <w:r>
        <w:rPr>
          <w:highlight w:val="none"/>
        </w:rPr>
        <w:fldChar w:fldCharType="end"/>
      </w:r>
      <w:r>
        <w:rPr>
          <w:highlight w:val="none"/>
        </w:rPr>
        <w:fldChar w:fldCharType="end"/>
      </w:r>
    </w:p>
    <w:p w14:paraId="084E9B57">
      <w:pPr>
        <w:pStyle w:val="229"/>
        <w:tabs>
          <w:tab w:val="right" w:leader="dot" w:pos="9366"/>
        </w:tabs>
        <w:rPr>
          <w:highlight w:val="none"/>
        </w:rPr>
      </w:pPr>
      <w:r>
        <w:rPr>
          <w:highlight w:val="none"/>
        </w:rPr>
        <w:fldChar w:fldCharType="begin"/>
      </w:r>
      <w:r>
        <w:rPr>
          <w:highlight w:val="none"/>
        </w:rPr>
        <w:instrText xml:space="preserve"> HYPERLINK \l _Toc21559 </w:instrText>
      </w:r>
      <w:r>
        <w:rPr>
          <w:highlight w:val="none"/>
        </w:rPr>
        <w:fldChar w:fldCharType="separate"/>
      </w:r>
      <w:r>
        <w:rPr>
          <w:rFonts w:hint="eastAsia" w:ascii="宋体" w:hAnsi="宋体" w:eastAsia="宋体" w:cs="Times New Roman"/>
          <w:highlight w:val="none"/>
        </w:rPr>
        <w:t>五、开启</w:t>
      </w:r>
      <w:r>
        <w:rPr>
          <w:highlight w:val="none"/>
        </w:rPr>
        <w:tab/>
      </w:r>
      <w:r>
        <w:rPr>
          <w:highlight w:val="none"/>
        </w:rPr>
        <w:fldChar w:fldCharType="begin"/>
      </w:r>
      <w:r>
        <w:rPr>
          <w:highlight w:val="none"/>
        </w:rPr>
        <w:instrText xml:space="preserve"> PAGEREF _Toc21559 \h </w:instrText>
      </w:r>
      <w:r>
        <w:rPr>
          <w:highlight w:val="none"/>
        </w:rPr>
        <w:fldChar w:fldCharType="separate"/>
      </w:r>
      <w:r>
        <w:rPr>
          <w:highlight w:val="none"/>
        </w:rPr>
        <w:t>9</w:t>
      </w:r>
      <w:r>
        <w:rPr>
          <w:highlight w:val="none"/>
        </w:rPr>
        <w:fldChar w:fldCharType="end"/>
      </w:r>
      <w:r>
        <w:rPr>
          <w:highlight w:val="none"/>
        </w:rPr>
        <w:fldChar w:fldCharType="end"/>
      </w:r>
    </w:p>
    <w:p w14:paraId="149EC8E3">
      <w:pPr>
        <w:pStyle w:val="229"/>
        <w:tabs>
          <w:tab w:val="right" w:leader="dot" w:pos="9366"/>
        </w:tabs>
        <w:rPr>
          <w:highlight w:val="none"/>
        </w:rPr>
      </w:pPr>
      <w:r>
        <w:rPr>
          <w:highlight w:val="none"/>
        </w:rPr>
        <w:fldChar w:fldCharType="begin"/>
      </w:r>
      <w:r>
        <w:rPr>
          <w:highlight w:val="none"/>
        </w:rPr>
        <w:instrText xml:space="preserve"> HYPERLINK \l _Toc31519 </w:instrText>
      </w:r>
      <w:r>
        <w:rPr>
          <w:highlight w:val="none"/>
        </w:rPr>
        <w:fldChar w:fldCharType="separate"/>
      </w:r>
      <w:r>
        <w:rPr>
          <w:rFonts w:hint="eastAsia" w:ascii="宋体" w:hAnsi="宋体" w:eastAsia="宋体" w:cs="Times New Roman"/>
          <w:highlight w:val="none"/>
        </w:rPr>
        <w:t>六、公告期限</w:t>
      </w:r>
      <w:r>
        <w:rPr>
          <w:highlight w:val="none"/>
        </w:rPr>
        <w:tab/>
      </w:r>
      <w:r>
        <w:rPr>
          <w:highlight w:val="none"/>
        </w:rPr>
        <w:fldChar w:fldCharType="begin"/>
      </w:r>
      <w:r>
        <w:rPr>
          <w:highlight w:val="none"/>
        </w:rPr>
        <w:instrText xml:space="preserve"> PAGEREF _Toc31519 \h </w:instrText>
      </w:r>
      <w:r>
        <w:rPr>
          <w:highlight w:val="none"/>
        </w:rPr>
        <w:fldChar w:fldCharType="separate"/>
      </w:r>
      <w:r>
        <w:rPr>
          <w:highlight w:val="none"/>
        </w:rPr>
        <w:t>10</w:t>
      </w:r>
      <w:r>
        <w:rPr>
          <w:highlight w:val="none"/>
        </w:rPr>
        <w:fldChar w:fldCharType="end"/>
      </w:r>
      <w:r>
        <w:rPr>
          <w:highlight w:val="none"/>
        </w:rPr>
        <w:fldChar w:fldCharType="end"/>
      </w:r>
    </w:p>
    <w:p w14:paraId="541BA6EC">
      <w:pPr>
        <w:pStyle w:val="229"/>
        <w:tabs>
          <w:tab w:val="right" w:leader="dot" w:pos="9366"/>
        </w:tabs>
        <w:rPr>
          <w:highlight w:val="none"/>
        </w:rPr>
      </w:pPr>
      <w:r>
        <w:rPr>
          <w:highlight w:val="none"/>
        </w:rPr>
        <w:fldChar w:fldCharType="begin"/>
      </w:r>
      <w:r>
        <w:rPr>
          <w:highlight w:val="none"/>
        </w:rPr>
        <w:instrText xml:space="preserve"> HYPERLINK \l _Toc27386 </w:instrText>
      </w:r>
      <w:r>
        <w:rPr>
          <w:highlight w:val="none"/>
        </w:rPr>
        <w:fldChar w:fldCharType="separate"/>
      </w:r>
      <w:r>
        <w:rPr>
          <w:rFonts w:hint="eastAsia" w:ascii="宋体" w:hAnsi="宋体" w:eastAsia="宋体" w:cs="Times New Roman"/>
          <w:highlight w:val="none"/>
          <w:lang w:val="en-US" w:eastAsia="zh-CN"/>
        </w:rPr>
        <w:t>七、</w:t>
      </w:r>
      <w:r>
        <w:rPr>
          <w:rFonts w:hint="eastAsia" w:ascii="宋体" w:hAnsi="宋体" w:eastAsia="宋体" w:cs="Times New Roman"/>
          <w:highlight w:val="none"/>
        </w:rPr>
        <w:t>其他补充事宜</w:t>
      </w:r>
      <w:r>
        <w:rPr>
          <w:highlight w:val="none"/>
        </w:rPr>
        <w:tab/>
      </w:r>
      <w:r>
        <w:rPr>
          <w:highlight w:val="none"/>
        </w:rPr>
        <w:fldChar w:fldCharType="begin"/>
      </w:r>
      <w:r>
        <w:rPr>
          <w:highlight w:val="none"/>
        </w:rPr>
        <w:instrText xml:space="preserve"> PAGEREF _Toc27386 \h </w:instrText>
      </w:r>
      <w:r>
        <w:rPr>
          <w:highlight w:val="none"/>
        </w:rPr>
        <w:fldChar w:fldCharType="separate"/>
      </w:r>
      <w:r>
        <w:rPr>
          <w:highlight w:val="none"/>
        </w:rPr>
        <w:t>10</w:t>
      </w:r>
      <w:r>
        <w:rPr>
          <w:highlight w:val="none"/>
        </w:rPr>
        <w:fldChar w:fldCharType="end"/>
      </w:r>
      <w:r>
        <w:rPr>
          <w:highlight w:val="none"/>
        </w:rPr>
        <w:fldChar w:fldCharType="end"/>
      </w:r>
    </w:p>
    <w:p w14:paraId="669E901F">
      <w:pPr>
        <w:pStyle w:val="229"/>
        <w:tabs>
          <w:tab w:val="right" w:leader="dot" w:pos="9366"/>
        </w:tabs>
        <w:rPr>
          <w:highlight w:val="none"/>
        </w:rPr>
      </w:pPr>
      <w:r>
        <w:rPr>
          <w:highlight w:val="none"/>
        </w:rPr>
        <w:fldChar w:fldCharType="begin"/>
      </w:r>
      <w:r>
        <w:rPr>
          <w:highlight w:val="none"/>
        </w:rPr>
        <w:instrText xml:space="preserve"> HYPERLINK \l _Toc17763 </w:instrText>
      </w:r>
      <w:r>
        <w:rPr>
          <w:highlight w:val="none"/>
        </w:rPr>
        <w:fldChar w:fldCharType="separate"/>
      </w:r>
      <w:r>
        <w:rPr>
          <w:rFonts w:hint="eastAsia" w:ascii="宋体" w:hAnsi="宋体" w:eastAsia="宋体" w:cs="Times New Roman"/>
          <w:highlight w:val="none"/>
          <w:lang w:val="en-US" w:eastAsia="zh-CN"/>
        </w:rPr>
        <w:t>八、对本次磋商提出询问，请按以下方式联系。</w:t>
      </w:r>
      <w:r>
        <w:rPr>
          <w:highlight w:val="none"/>
        </w:rPr>
        <w:tab/>
      </w:r>
      <w:r>
        <w:rPr>
          <w:highlight w:val="none"/>
        </w:rPr>
        <w:fldChar w:fldCharType="begin"/>
      </w:r>
      <w:r>
        <w:rPr>
          <w:highlight w:val="none"/>
        </w:rPr>
        <w:instrText xml:space="preserve"> PAGEREF _Toc17763 \h </w:instrText>
      </w:r>
      <w:r>
        <w:rPr>
          <w:highlight w:val="none"/>
        </w:rPr>
        <w:fldChar w:fldCharType="separate"/>
      </w:r>
      <w:r>
        <w:rPr>
          <w:highlight w:val="none"/>
        </w:rPr>
        <w:t>11</w:t>
      </w:r>
      <w:r>
        <w:rPr>
          <w:highlight w:val="none"/>
        </w:rPr>
        <w:fldChar w:fldCharType="end"/>
      </w:r>
      <w:r>
        <w:rPr>
          <w:highlight w:val="none"/>
        </w:rPr>
        <w:fldChar w:fldCharType="end"/>
      </w:r>
    </w:p>
    <w:p w14:paraId="5C1B7716">
      <w:pPr>
        <w:pStyle w:val="222"/>
        <w:tabs>
          <w:tab w:val="right" w:leader="dot" w:pos="9366"/>
        </w:tabs>
        <w:rPr>
          <w:highlight w:val="none"/>
        </w:rPr>
      </w:pPr>
      <w:r>
        <w:rPr>
          <w:highlight w:val="none"/>
        </w:rPr>
        <w:fldChar w:fldCharType="begin"/>
      </w:r>
      <w:r>
        <w:rPr>
          <w:highlight w:val="none"/>
        </w:rPr>
        <w:instrText xml:space="preserve"> HYPERLINK \l _Toc28972 </w:instrText>
      </w:r>
      <w:r>
        <w:rPr>
          <w:highlight w:val="none"/>
        </w:rPr>
        <w:fldChar w:fldCharType="separate"/>
      </w:r>
      <w:r>
        <w:rPr>
          <w:rFonts w:hint="eastAsia" w:ascii="宋体" w:hAnsi="宋体"/>
          <w:highlight w:val="none"/>
        </w:rPr>
        <w:t>第二部分  供应商须知</w:t>
      </w:r>
      <w:r>
        <w:rPr>
          <w:highlight w:val="none"/>
        </w:rPr>
        <w:tab/>
      </w:r>
      <w:r>
        <w:rPr>
          <w:highlight w:val="none"/>
        </w:rPr>
        <w:fldChar w:fldCharType="begin"/>
      </w:r>
      <w:r>
        <w:rPr>
          <w:highlight w:val="none"/>
        </w:rPr>
        <w:instrText xml:space="preserve"> PAGEREF _Toc28972 \h </w:instrText>
      </w:r>
      <w:r>
        <w:rPr>
          <w:highlight w:val="none"/>
        </w:rPr>
        <w:fldChar w:fldCharType="separate"/>
      </w:r>
      <w:r>
        <w:rPr>
          <w:highlight w:val="none"/>
        </w:rPr>
        <w:t>12</w:t>
      </w:r>
      <w:r>
        <w:rPr>
          <w:highlight w:val="none"/>
        </w:rPr>
        <w:fldChar w:fldCharType="end"/>
      </w:r>
      <w:r>
        <w:rPr>
          <w:highlight w:val="none"/>
        </w:rPr>
        <w:fldChar w:fldCharType="end"/>
      </w:r>
    </w:p>
    <w:p w14:paraId="50B004D8">
      <w:pPr>
        <w:pStyle w:val="229"/>
        <w:tabs>
          <w:tab w:val="right" w:leader="dot" w:pos="9366"/>
        </w:tabs>
        <w:rPr>
          <w:highlight w:val="none"/>
        </w:rPr>
      </w:pPr>
      <w:r>
        <w:rPr>
          <w:highlight w:val="none"/>
        </w:rPr>
        <w:fldChar w:fldCharType="begin"/>
      </w:r>
      <w:r>
        <w:rPr>
          <w:highlight w:val="none"/>
        </w:rPr>
        <w:instrText xml:space="preserve"> HYPERLINK \l _Toc20983 </w:instrText>
      </w:r>
      <w:r>
        <w:rPr>
          <w:highlight w:val="none"/>
        </w:rPr>
        <w:fldChar w:fldCharType="separate"/>
      </w:r>
      <w:r>
        <w:rPr>
          <w:rFonts w:hint="eastAsia" w:ascii="宋体" w:hAnsi="宋体" w:eastAsia="宋体"/>
          <w:highlight w:val="none"/>
        </w:rPr>
        <w:t>一、总  则</w:t>
      </w:r>
      <w:r>
        <w:rPr>
          <w:highlight w:val="none"/>
        </w:rPr>
        <w:tab/>
      </w:r>
      <w:r>
        <w:rPr>
          <w:highlight w:val="none"/>
        </w:rPr>
        <w:fldChar w:fldCharType="begin"/>
      </w:r>
      <w:r>
        <w:rPr>
          <w:highlight w:val="none"/>
        </w:rPr>
        <w:instrText xml:space="preserve"> PAGEREF _Toc20983 \h </w:instrText>
      </w:r>
      <w:r>
        <w:rPr>
          <w:highlight w:val="none"/>
        </w:rPr>
        <w:fldChar w:fldCharType="separate"/>
      </w:r>
      <w:r>
        <w:rPr>
          <w:highlight w:val="none"/>
        </w:rPr>
        <w:t>12</w:t>
      </w:r>
      <w:r>
        <w:rPr>
          <w:highlight w:val="none"/>
        </w:rPr>
        <w:fldChar w:fldCharType="end"/>
      </w:r>
      <w:r>
        <w:rPr>
          <w:highlight w:val="none"/>
        </w:rPr>
        <w:fldChar w:fldCharType="end"/>
      </w:r>
    </w:p>
    <w:p w14:paraId="17B87BBB">
      <w:pPr>
        <w:pStyle w:val="210"/>
        <w:tabs>
          <w:tab w:val="right" w:leader="dot" w:pos="9366"/>
        </w:tabs>
        <w:rPr>
          <w:highlight w:val="none"/>
        </w:rPr>
      </w:pPr>
      <w:r>
        <w:rPr>
          <w:highlight w:val="none"/>
        </w:rPr>
        <w:fldChar w:fldCharType="begin"/>
      </w:r>
      <w:r>
        <w:rPr>
          <w:highlight w:val="none"/>
        </w:rPr>
        <w:instrText xml:space="preserve"> HYPERLINK \l _Toc917 </w:instrText>
      </w:r>
      <w:r>
        <w:rPr>
          <w:highlight w:val="none"/>
        </w:rPr>
        <w:fldChar w:fldCharType="separate"/>
      </w:r>
      <w:r>
        <w:rPr>
          <w:rFonts w:hint="eastAsia" w:ascii="宋体" w:hAnsi="宋体"/>
          <w:highlight w:val="none"/>
        </w:rPr>
        <w:t>1．适用范围</w:t>
      </w:r>
      <w:r>
        <w:rPr>
          <w:highlight w:val="none"/>
        </w:rPr>
        <w:tab/>
      </w:r>
      <w:r>
        <w:rPr>
          <w:highlight w:val="none"/>
        </w:rPr>
        <w:fldChar w:fldCharType="begin"/>
      </w:r>
      <w:r>
        <w:rPr>
          <w:highlight w:val="none"/>
        </w:rPr>
        <w:instrText xml:space="preserve"> PAGEREF _Toc917 \h </w:instrText>
      </w:r>
      <w:r>
        <w:rPr>
          <w:highlight w:val="none"/>
        </w:rPr>
        <w:fldChar w:fldCharType="separate"/>
      </w:r>
      <w:r>
        <w:rPr>
          <w:highlight w:val="none"/>
        </w:rPr>
        <w:t>12</w:t>
      </w:r>
      <w:r>
        <w:rPr>
          <w:highlight w:val="none"/>
        </w:rPr>
        <w:fldChar w:fldCharType="end"/>
      </w:r>
      <w:r>
        <w:rPr>
          <w:highlight w:val="none"/>
        </w:rPr>
        <w:fldChar w:fldCharType="end"/>
      </w:r>
    </w:p>
    <w:p w14:paraId="2AC68820">
      <w:pPr>
        <w:pStyle w:val="210"/>
        <w:tabs>
          <w:tab w:val="right" w:leader="dot" w:pos="9366"/>
        </w:tabs>
        <w:rPr>
          <w:highlight w:val="none"/>
        </w:rPr>
      </w:pPr>
      <w:r>
        <w:rPr>
          <w:highlight w:val="none"/>
        </w:rPr>
        <w:fldChar w:fldCharType="begin"/>
      </w:r>
      <w:r>
        <w:rPr>
          <w:highlight w:val="none"/>
        </w:rPr>
        <w:instrText xml:space="preserve"> HYPERLINK \l _Toc12651 </w:instrText>
      </w:r>
      <w:r>
        <w:rPr>
          <w:highlight w:val="none"/>
        </w:rPr>
        <w:fldChar w:fldCharType="separate"/>
      </w:r>
      <w:r>
        <w:rPr>
          <w:rFonts w:hint="eastAsia" w:ascii="宋体" w:hAnsi="宋体"/>
          <w:highlight w:val="none"/>
        </w:rPr>
        <w:t>2．定义</w:t>
      </w:r>
      <w:r>
        <w:rPr>
          <w:highlight w:val="none"/>
        </w:rPr>
        <w:tab/>
      </w:r>
      <w:r>
        <w:rPr>
          <w:highlight w:val="none"/>
        </w:rPr>
        <w:fldChar w:fldCharType="begin"/>
      </w:r>
      <w:r>
        <w:rPr>
          <w:highlight w:val="none"/>
        </w:rPr>
        <w:instrText xml:space="preserve"> PAGEREF _Toc12651 \h </w:instrText>
      </w:r>
      <w:r>
        <w:rPr>
          <w:highlight w:val="none"/>
        </w:rPr>
        <w:fldChar w:fldCharType="separate"/>
      </w:r>
      <w:r>
        <w:rPr>
          <w:highlight w:val="none"/>
        </w:rPr>
        <w:t>12</w:t>
      </w:r>
      <w:r>
        <w:rPr>
          <w:highlight w:val="none"/>
        </w:rPr>
        <w:fldChar w:fldCharType="end"/>
      </w:r>
      <w:r>
        <w:rPr>
          <w:highlight w:val="none"/>
        </w:rPr>
        <w:fldChar w:fldCharType="end"/>
      </w:r>
    </w:p>
    <w:p w14:paraId="1E2635BB">
      <w:pPr>
        <w:pStyle w:val="210"/>
        <w:tabs>
          <w:tab w:val="right" w:leader="dot" w:pos="9366"/>
        </w:tabs>
        <w:rPr>
          <w:highlight w:val="none"/>
        </w:rPr>
      </w:pPr>
      <w:r>
        <w:rPr>
          <w:highlight w:val="none"/>
        </w:rPr>
        <w:fldChar w:fldCharType="begin"/>
      </w:r>
      <w:r>
        <w:rPr>
          <w:highlight w:val="none"/>
        </w:rPr>
        <w:instrText xml:space="preserve"> HYPERLINK \l _Toc25544 </w:instrText>
      </w:r>
      <w:r>
        <w:rPr>
          <w:highlight w:val="none"/>
        </w:rPr>
        <w:fldChar w:fldCharType="separate"/>
      </w:r>
      <w:r>
        <w:rPr>
          <w:rFonts w:hint="eastAsia" w:ascii="宋体" w:hAnsi="宋体"/>
          <w:highlight w:val="none"/>
        </w:rPr>
        <w:t>4．磋商费用</w:t>
      </w:r>
      <w:r>
        <w:rPr>
          <w:highlight w:val="none"/>
        </w:rPr>
        <w:tab/>
      </w:r>
      <w:r>
        <w:rPr>
          <w:highlight w:val="none"/>
        </w:rPr>
        <w:fldChar w:fldCharType="begin"/>
      </w:r>
      <w:r>
        <w:rPr>
          <w:highlight w:val="none"/>
        </w:rPr>
        <w:instrText xml:space="preserve"> PAGEREF _Toc25544 \h </w:instrText>
      </w:r>
      <w:r>
        <w:rPr>
          <w:highlight w:val="none"/>
        </w:rPr>
        <w:fldChar w:fldCharType="separate"/>
      </w:r>
      <w:r>
        <w:rPr>
          <w:highlight w:val="none"/>
        </w:rPr>
        <w:t>13</w:t>
      </w:r>
      <w:r>
        <w:rPr>
          <w:highlight w:val="none"/>
        </w:rPr>
        <w:fldChar w:fldCharType="end"/>
      </w:r>
      <w:r>
        <w:rPr>
          <w:highlight w:val="none"/>
        </w:rPr>
        <w:fldChar w:fldCharType="end"/>
      </w:r>
    </w:p>
    <w:p w14:paraId="0704EA2A">
      <w:pPr>
        <w:pStyle w:val="210"/>
        <w:tabs>
          <w:tab w:val="right" w:leader="dot" w:pos="9366"/>
        </w:tabs>
        <w:rPr>
          <w:highlight w:val="none"/>
        </w:rPr>
      </w:pPr>
      <w:r>
        <w:rPr>
          <w:highlight w:val="none"/>
        </w:rPr>
        <w:fldChar w:fldCharType="begin"/>
      </w:r>
      <w:r>
        <w:rPr>
          <w:highlight w:val="none"/>
        </w:rPr>
        <w:instrText xml:space="preserve"> HYPERLINK \l _Toc19778 </w:instrText>
      </w:r>
      <w:r>
        <w:rPr>
          <w:highlight w:val="none"/>
        </w:rPr>
        <w:fldChar w:fldCharType="separate"/>
      </w:r>
      <w:r>
        <w:rPr>
          <w:rFonts w:hint="eastAsia" w:ascii="宋体" w:hAnsi="宋体"/>
          <w:highlight w:val="none"/>
        </w:rPr>
        <w:t>5．政策功能</w:t>
      </w:r>
      <w:r>
        <w:rPr>
          <w:highlight w:val="none"/>
        </w:rPr>
        <w:tab/>
      </w:r>
      <w:r>
        <w:rPr>
          <w:highlight w:val="none"/>
        </w:rPr>
        <w:fldChar w:fldCharType="begin"/>
      </w:r>
      <w:r>
        <w:rPr>
          <w:highlight w:val="none"/>
        </w:rPr>
        <w:instrText xml:space="preserve"> PAGEREF _Toc19778 \h </w:instrText>
      </w:r>
      <w:r>
        <w:rPr>
          <w:highlight w:val="none"/>
        </w:rPr>
        <w:fldChar w:fldCharType="separate"/>
      </w:r>
      <w:r>
        <w:rPr>
          <w:highlight w:val="none"/>
        </w:rPr>
        <w:t>13</w:t>
      </w:r>
      <w:r>
        <w:rPr>
          <w:highlight w:val="none"/>
        </w:rPr>
        <w:fldChar w:fldCharType="end"/>
      </w:r>
      <w:r>
        <w:rPr>
          <w:highlight w:val="none"/>
        </w:rPr>
        <w:fldChar w:fldCharType="end"/>
      </w:r>
    </w:p>
    <w:p w14:paraId="4D3088F8">
      <w:pPr>
        <w:pStyle w:val="229"/>
        <w:tabs>
          <w:tab w:val="right" w:leader="dot" w:pos="9366"/>
        </w:tabs>
        <w:rPr>
          <w:highlight w:val="none"/>
        </w:rPr>
      </w:pPr>
      <w:r>
        <w:rPr>
          <w:highlight w:val="none"/>
        </w:rPr>
        <w:fldChar w:fldCharType="begin"/>
      </w:r>
      <w:r>
        <w:rPr>
          <w:highlight w:val="none"/>
        </w:rPr>
        <w:instrText xml:space="preserve"> HYPERLINK \l _Toc12942 </w:instrText>
      </w:r>
      <w:r>
        <w:rPr>
          <w:highlight w:val="none"/>
        </w:rPr>
        <w:fldChar w:fldCharType="separate"/>
      </w:r>
      <w:r>
        <w:rPr>
          <w:rFonts w:hint="eastAsia" w:ascii="宋体" w:hAnsi="宋体" w:eastAsia="宋体"/>
          <w:highlight w:val="none"/>
        </w:rPr>
        <w:t>二、磋商文件</w:t>
      </w:r>
      <w:r>
        <w:rPr>
          <w:highlight w:val="none"/>
        </w:rPr>
        <w:tab/>
      </w:r>
      <w:r>
        <w:rPr>
          <w:highlight w:val="none"/>
        </w:rPr>
        <w:fldChar w:fldCharType="begin"/>
      </w:r>
      <w:r>
        <w:rPr>
          <w:highlight w:val="none"/>
        </w:rPr>
        <w:instrText xml:space="preserve"> PAGEREF _Toc12942 \h </w:instrText>
      </w:r>
      <w:r>
        <w:rPr>
          <w:highlight w:val="none"/>
        </w:rPr>
        <w:fldChar w:fldCharType="separate"/>
      </w:r>
      <w:r>
        <w:rPr>
          <w:highlight w:val="none"/>
        </w:rPr>
        <w:t>16</w:t>
      </w:r>
      <w:r>
        <w:rPr>
          <w:highlight w:val="none"/>
        </w:rPr>
        <w:fldChar w:fldCharType="end"/>
      </w:r>
      <w:r>
        <w:rPr>
          <w:highlight w:val="none"/>
        </w:rPr>
        <w:fldChar w:fldCharType="end"/>
      </w:r>
    </w:p>
    <w:p w14:paraId="6E178EA1">
      <w:pPr>
        <w:pStyle w:val="210"/>
        <w:tabs>
          <w:tab w:val="right" w:leader="dot" w:pos="9366"/>
        </w:tabs>
        <w:rPr>
          <w:highlight w:val="none"/>
        </w:rPr>
      </w:pPr>
      <w:r>
        <w:rPr>
          <w:highlight w:val="none"/>
        </w:rPr>
        <w:fldChar w:fldCharType="begin"/>
      </w:r>
      <w:r>
        <w:rPr>
          <w:highlight w:val="none"/>
        </w:rPr>
        <w:instrText xml:space="preserve"> HYPERLINK \l _Toc29485 </w:instrText>
      </w:r>
      <w:r>
        <w:rPr>
          <w:highlight w:val="none"/>
        </w:rPr>
        <w:fldChar w:fldCharType="separate"/>
      </w:r>
      <w:r>
        <w:rPr>
          <w:rFonts w:hint="eastAsia" w:ascii="宋体" w:hAnsi="宋体"/>
          <w:highlight w:val="none"/>
        </w:rPr>
        <w:t>6．磋商文件组成</w:t>
      </w:r>
      <w:r>
        <w:rPr>
          <w:highlight w:val="none"/>
        </w:rPr>
        <w:tab/>
      </w:r>
      <w:r>
        <w:rPr>
          <w:highlight w:val="none"/>
        </w:rPr>
        <w:fldChar w:fldCharType="begin"/>
      </w:r>
      <w:r>
        <w:rPr>
          <w:highlight w:val="none"/>
        </w:rPr>
        <w:instrText xml:space="preserve"> PAGEREF _Toc29485 \h </w:instrText>
      </w:r>
      <w:r>
        <w:rPr>
          <w:highlight w:val="none"/>
        </w:rPr>
        <w:fldChar w:fldCharType="separate"/>
      </w:r>
      <w:r>
        <w:rPr>
          <w:highlight w:val="none"/>
        </w:rPr>
        <w:t>16</w:t>
      </w:r>
      <w:r>
        <w:rPr>
          <w:highlight w:val="none"/>
        </w:rPr>
        <w:fldChar w:fldCharType="end"/>
      </w:r>
      <w:r>
        <w:rPr>
          <w:highlight w:val="none"/>
        </w:rPr>
        <w:fldChar w:fldCharType="end"/>
      </w:r>
    </w:p>
    <w:p w14:paraId="32DEE83E">
      <w:pPr>
        <w:pStyle w:val="210"/>
        <w:tabs>
          <w:tab w:val="right" w:leader="dot" w:pos="9366"/>
        </w:tabs>
        <w:rPr>
          <w:highlight w:val="none"/>
        </w:rPr>
      </w:pPr>
      <w:r>
        <w:rPr>
          <w:highlight w:val="none"/>
        </w:rPr>
        <w:fldChar w:fldCharType="begin"/>
      </w:r>
      <w:r>
        <w:rPr>
          <w:highlight w:val="none"/>
        </w:rPr>
        <w:instrText xml:space="preserve"> HYPERLINK \l _Toc7863 </w:instrText>
      </w:r>
      <w:r>
        <w:rPr>
          <w:highlight w:val="none"/>
        </w:rPr>
        <w:fldChar w:fldCharType="separate"/>
      </w:r>
      <w:r>
        <w:rPr>
          <w:rFonts w:hint="eastAsia" w:ascii="宋体" w:hAnsi="宋体"/>
          <w:highlight w:val="none"/>
        </w:rPr>
        <w:t>7．磋商文件的澄清和修改</w:t>
      </w:r>
      <w:r>
        <w:rPr>
          <w:highlight w:val="none"/>
        </w:rPr>
        <w:tab/>
      </w:r>
      <w:r>
        <w:rPr>
          <w:highlight w:val="none"/>
        </w:rPr>
        <w:fldChar w:fldCharType="begin"/>
      </w:r>
      <w:r>
        <w:rPr>
          <w:highlight w:val="none"/>
        </w:rPr>
        <w:instrText xml:space="preserve"> PAGEREF _Toc7863 \h </w:instrText>
      </w:r>
      <w:r>
        <w:rPr>
          <w:highlight w:val="none"/>
        </w:rPr>
        <w:fldChar w:fldCharType="separate"/>
      </w:r>
      <w:r>
        <w:rPr>
          <w:highlight w:val="none"/>
        </w:rPr>
        <w:t>17</w:t>
      </w:r>
      <w:r>
        <w:rPr>
          <w:highlight w:val="none"/>
        </w:rPr>
        <w:fldChar w:fldCharType="end"/>
      </w:r>
      <w:r>
        <w:rPr>
          <w:highlight w:val="none"/>
        </w:rPr>
        <w:fldChar w:fldCharType="end"/>
      </w:r>
    </w:p>
    <w:p w14:paraId="7D4E11BD">
      <w:pPr>
        <w:pStyle w:val="229"/>
        <w:tabs>
          <w:tab w:val="right" w:leader="dot" w:pos="9366"/>
        </w:tabs>
        <w:rPr>
          <w:highlight w:val="none"/>
        </w:rPr>
      </w:pPr>
      <w:r>
        <w:rPr>
          <w:highlight w:val="none"/>
        </w:rPr>
        <w:fldChar w:fldCharType="begin"/>
      </w:r>
      <w:r>
        <w:rPr>
          <w:highlight w:val="none"/>
        </w:rPr>
        <w:instrText xml:space="preserve"> HYPERLINK \l _Toc22293 </w:instrText>
      </w:r>
      <w:r>
        <w:rPr>
          <w:highlight w:val="none"/>
        </w:rPr>
        <w:fldChar w:fldCharType="separate"/>
      </w:r>
      <w:r>
        <w:rPr>
          <w:rFonts w:hint="eastAsia" w:ascii="宋体" w:hAnsi="宋体" w:eastAsia="宋体"/>
          <w:highlight w:val="none"/>
        </w:rPr>
        <w:t>三、磋商响应文件</w:t>
      </w:r>
      <w:r>
        <w:rPr>
          <w:highlight w:val="none"/>
        </w:rPr>
        <w:tab/>
      </w:r>
      <w:r>
        <w:rPr>
          <w:highlight w:val="none"/>
        </w:rPr>
        <w:fldChar w:fldCharType="begin"/>
      </w:r>
      <w:r>
        <w:rPr>
          <w:highlight w:val="none"/>
        </w:rPr>
        <w:instrText xml:space="preserve"> PAGEREF _Toc22293 \h </w:instrText>
      </w:r>
      <w:r>
        <w:rPr>
          <w:highlight w:val="none"/>
        </w:rPr>
        <w:fldChar w:fldCharType="separate"/>
      </w:r>
      <w:r>
        <w:rPr>
          <w:highlight w:val="none"/>
        </w:rPr>
        <w:t>18</w:t>
      </w:r>
      <w:r>
        <w:rPr>
          <w:highlight w:val="none"/>
        </w:rPr>
        <w:fldChar w:fldCharType="end"/>
      </w:r>
      <w:r>
        <w:rPr>
          <w:highlight w:val="none"/>
        </w:rPr>
        <w:fldChar w:fldCharType="end"/>
      </w:r>
    </w:p>
    <w:p w14:paraId="4326C964">
      <w:pPr>
        <w:pStyle w:val="210"/>
        <w:tabs>
          <w:tab w:val="right" w:leader="dot" w:pos="9366"/>
        </w:tabs>
        <w:rPr>
          <w:highlight w:val="none"/>
        </w:rPr>
      </w:pPr>
      <w:r>
        <w:rPr>
          <w:highlight w:val="none"/>
        </w:rPr>
        <w:fldChar w:fldCharType="begin"/>
      </w:r>
      <w:r>
        <w:rPr>
          <w:highlight w:val="none"/>
        </w:rPr>
        <w:instrText xml:space="preserve"> HYPERLINK \l _Toc13177 </w:instrText>
      </w:r>
      <w:r>
        <w:rPr>
          <w:highlight w:val="none"/>
        </w:rPr>
        <w:fldChar w:fldCharType="separate"/>
      </w:r>
      <w:r>
        <w:rPr>
          <w:rFonts w:hint="eastAsia" w:ascii="宋体" w:hAnsi="宋体"/>
          <w:highlight w:val="none"/>
        </w:rPr>
        <w:t>8．编制响应文件的工具</w:t>
      </w:r>
      <w:r>
        <w:rPr>
          <w:highlight w:val="none"/>
        </w:rPr>
        <w:tab/>
      </w:r>
      <w:r>
        <w:rPr>
          <w:highlight w:val="none"/>
        </w:rPr>
        <w:fldChar w:fldCharType="begin"/>
      </w:r>
      <w:r>
        <w:rPr>
          <w:highlight w:val="none"/>
        </w:rPr>
        <w:instrText xml:space="preserve"> PAGEREF _Toc13177 \h </w:instrText>
      </w:r>
      <w:r>
        <w:rPr>
          <w:highlight w:val="none"/>
        </w:rPr>
        <w:fldChar w:fldCharType="separate"/>
      </w:r>
      <w:r>
        <w:rPr>
          <w:highlight w:val="none"/>
        </w:rPr>
        <w:t>18</w:t>
      </w:r>
      <w:r>
        <w:rPr>
          <w:highlight w:val="none"/>
        </w:rPr>
        <w:fldChar w:fldCharType="end"/>
      </w:r>
      <w:r>
        <w:rPr>
          <w:highlight w:val="none"/>
        </w:rPr>
        <w:fldChar w:fldCharType="end"/>
      </w:r>
    </w:p>
    <w:p w14:paraId="46F850E6">
      <w:pPr>
        <w:pStyle w:val="210"/>
        <w:tabs>
          <w:tab w:val="right" w:leader="dot" w:pos="9366"/>
        </w:tabs>
        <w:rPr>
          <w:highlight w:val="none"/>
        </w:rPr>
      </w:pPr>
      <w:r>
        <w:rPr>
          <w:highlight w:val="none"/>
        </w:rPr>
        <w:fldChar w:fldCharType="begin"/>
      </w:r>
      <w:r>
        <w:rPr>
          <w:highlight w:val="none"/>
        </w:rPr>
        <w:instrText xml:space="preserve"> HYPERLINK \l _Toc10880 </w:instrText>
      </w:r>
      <w:r>
        <w:rPr>
          <w:highlight w:val="none"/>
        </w:rPr>
        <w:fldChar w:fldCharType="separate"/>
      </w:r>
      <w:r>
        <w:rPr>
          <w:rFonts w:hint="eastAsia" w:ascii="宋体" w:hAnsi="宋体"/>
          <w:highlight w:val="none"/>
        </w:rPr>
        <w:t>9．响应文件语言及度量衡单位</w:t>
      </w:r>
      <w:r>
        <w:rPr>
          <w:highlight w:val="none"/>
        </w:rPr>
        <w:tab/>
      </w:r>
      <w:r>
        <w:rPr>
          <w:highlight w:val="none"/>
        </w:rPr>
        <w:fldChar w:fldCharType="begin"/>
      </w:r>
      <w:r>
        <w:rPr>
          <w:highlight w:val="none"/>
        </w:rPr>
        <w:instrText xml:space="preserve"> PAGEREF _Toc10880 \h </w:instrText>
      </w:r>
      <w:r>
        <w:rPr>
          <w:highlight w:val="none"/>
        </w:rPr>
        <w:fldChar w:fldCharType="separate"/>
      </w:r>
      <w:r>
        <w:rPr>
          <w:highlight w:val="none"/>
        </w:rPr>
        <w:t>18</w:t>
      </w:r>
      <w:r>
        <w:rPr>
          <w:highlight w:val="none"/>
        </w:rPr>
        <w:fldChar w:fldCharType="end"/>
      </w:r>
      <w:r>
        <w:rPr>
          <w:highlight w:val="none"/>
        </w:rPr>
        <w:fldChar w:fldCharType="end"/>
      </w:r>
    </w:p>
    <w:p w14:paraId="51C52BBC">
      <w:pPr>
        <w:pStyle w:val="210"/>
        <w:tabs>
          <w:tab w:val="right" w:leader="dot" w:pos="9366"/>
        </w:tabs>
        <w:rPr>
          <w:highlight w:val="none"/>
        </w:rPr>
      </w:pPr>
      <w:r>
        <w:rPr>
          <w:highlight w:val="none"/>
        </w:rPr>
        <w:fldChar w:fldCharType="begin"/>
      </w:r>
      <w:r>
        <w:rPr>
          <w:highlight w:val="none"/>
        </w:rPr>
        <w:instrText xml:space="preserve"> HYPERLINK \l _Toc2758 </w:instrText>
      </w:r>
      <w:r>
        <w:rPr>
          <w:highlight w:val="none"/>
        </w:rPr>
        <w:fldChar w:fldCharType="separate"/>
      </w:r>
      <w:r>
        <w:rPr>
          <w:rFonts w:hint="eastAsia" w:ascii="宋体" w:hAnsi="宋体"/>
          <w:highlight w:val="none"/>
        </w:rPr>
        <w:t>10．响应文件的构成</w:t>
      </w:r>
      <w:r>
        <w:rPr>
          <w:highlight w:val="none"/>
        </w:rPr>
        <w:tab/>
      </w:r>
      <w:r>
        <w:rPr>
          <w:highlight w:val="none"/>
        </w:rPr>
        <w:fldChar w:fldCharType="begin"/>
      </w:r>
      <w:r>
        <w:rPr>
          <w:highlight w:val="none"/>
        </w:rPr>
        <w:instrText xml:space="preserve"> PAGEREF _Toc2758 \h </w:instrText>
      </w:r>
      <w:r>
        <w:rPr>
          <w:highlight w:val="none"/>
        </w:rPr>
        <w:fldChar w:fldCharType="separate"/>
      </w:r>
      <w:r>
        <w:rPr>
          <w:highlight w:val="none"/>
        </w:rPr>
        <w:t>18</w:t>
      </w:r>
      <w:r>
        <w:rPr>
          <w:highlight w:val="none"/>
        </w:rPr>
        <w:fldChar w:fldCharType="end"/>
      </w:r>
      <w:r>
        <w:rPr>
          <w:highlight w:val="none"/>
        </w:rPr>
        <w:fldChar w:fldCharType="end"/>
      </w:r>
    </w:p>
    <w:p w14:paraId="73BFC8BC">
      <w:pPr>
        <w:pStyle w:val="210"/>
        <w:tabs>
          <w:tab w:val="right" w:leader="dot" w:pos="9366"/>
        </w:tabs>
        <w:rPr>
          <w:highlight w:val="none"/>
        </w:rPr>
      </w:pPr>
      <w:r>
        <w:rPr>
          <w:highlight w:val="none"/>
        </w:rPr>
        <w:fldChar w:fldCharType="begin"/>
      </w:r>
      <w:r>
        <w:rPr>
          <w:highlight w:val="none"/>
        </w:rPr>
        <w:instrText xml:space="preserve"> HYPERLINK \l _Toc7189 </w:instrText>
      </w:r>
      <w:r>
        <w:rPr>
          <w:highlight w:val="none"/>
        </w:rPr>
        <w:fldChar w:fldCharType="separate"/>
      </w:r>
      <w:r>
        <w:rPr>
          <w:rFonts w:hint="eastAsia" w:ascii="宋体" w:hAnsi="宋体"/>
          <w:highlight w:val="none"/>
        </w:rPr>
        <w:t>11．响应文件的编写</w:t>
      </w:r>
      <w:r>
        <w:rPr>
          <w:highlight w:val="none"/>
        </w:rPr>
        <w:tab/>
      </w:r>
      <w:r>
        <w:rPr>
          <w:highlight w:val="none"/>
        </w:rPr>
        <w:fldChar w:fldCharType="begin"/>
      </w:r>
      <w:r>
        <w:rPr>
          <w:highlight w:val="none"/>
        </w:rPr>
        <w:instrText xml:space="preserve"> PAGEREF _Toc7189 \h </w:instrText>
      </w:r>
      <w:r>
        <w:rPr>
          <w:highlight w:val="none"/>
        </w:rPr>
        <w:fldChar w:fldCharType="separate"/>
      </w:r>
      <w:r>
        <w:rPr>
          <w:highlight w:val="none"/>
        </w:rPr>
        <w:t>18</w:t>
      </w:r>
      <w:r>
        <w:rPr>
          <w:highlight w:val="none"/>
        </w:rPr>
        <w:fldChar w:fldCharType="end"/>
      </w:r>
      <w:r>
        <w:rPr>
          <w:highlight w:val="none"/>
        </w:rPr>
        <w:fldChar w:fldCharType="end"/>
      </w:r>
    </w:p>
    <w:p w14:paraId="0A05655B">
      <w:pPr>
        <w:pStyle w:val="210"/>
        <w:tabs>
          <w:tab w:val="right" w:leader="dot" w:pos="9366"/>
        </w:tabs>
        <w:rPr>
          <w:highlight w:val="none"/>
        </w:rPr>
      </w:pPr>
      <w:r>
        <w:rPr>
          <w:highlight w:val="none"/>
        </w:rPr>
        <w:fldChar w:fldCharType="begin"/>
      </w:r>
      <w:r>
        <w:rPr>
          <w:highlight w:val="none"/>
        </w:rPr>
        <w:instrText xml:space="preserve"> HYPERLINK \l _Toc2872 </w:instrText>
      </w:r>
      <w:r>
        <w:rPr>
          <w:highlight w:val="none"/>
        </w:rPr>
        <w:fldChar w:fldCharType="separate"/>
      </w:r>
      <w:r>
        <w:rPr>
          <w:rFonts w:hint="eastAsia" w:ascii="宋体" w:hAnsi="宋体"/>
          <w:highlight w:val="none"/>
        </w:rPr>
        <w:t>12．响应报价</w:t>
      </w:r>
      <w:r>
        <w:rPr>
          <w:highlight w:val="none"/>
        </w:rPr>
        <w:tab/>
      </w:r>
      <w:r>
        <w:rPr>
          <w:highlight w:val="none"/>
        </w:rPr>
        <w:fldChar w:fldCharType="begin"/>
      </w:r>
      <w:r>
        <w:rPr>
          <w:highlight w:val="none"/>
        </w:rPr>
        <w:instrText xml:space="preserve"> PAGEREF _Toc2872 \h </w:instrText>
      </w:r>
      <w:r>
        <w:rPr>
          <w:highlight w:val="none"/>
        </w:rPr>
        <w:fldChar w:fldCharType="separate"/>
      </w:r>
      <w:r>
        <w:rPr>
          <w:highlight w:val="none"/>
        </w:rPr>
        <w:t>19</w:t>
      </w:r>
      <w:r>
        <w:rPr>
          <w:highlight w:val="none"/>
        </w:rPr>
        <w:fldChar w:fldCharType="end"/>
      </w:r>
      <w:r>
        <w:rPr>
          <w:highlight w:val="none"/>
        </w:rPr>
        <w:fldChar w:fldCharType="end"/>
      </w:r>
    </w:p>
    <w:p w14:paraId="1A78CA44">
      <w:pPr>
        <w:pStyle w:val="210"/>
        <w:tabs>
          <w:tab w:val="right" w:leader="dot" w:pos="9366"/>
        </w:tabs>
        <w:rPr>
          <w:highlight w:val="none"/>
        </w:rPr>
      </w:pPr>
      <w:r>
        <w:rPr>
          <w:highlight w:val="none"/>
        </w:rPr>
        <w:fldChar w:fldCharType="begin"/>
      </w:r>
      <w:r>
        <w:rPr>
          <w:highlight w:val="none"/>
        </w:rPr>
        <w:instrText xml:space="preserve"> HYPERLINK \l _Toc26699 </w:instrText>
      </w:r>
      <w:r>
        <w:rPr>
          <w:highlight w:val="none"/>
        </w:rPr>
        <w:fldChar w:fldCharType="separate"/>
      </w:r>
      <w:r>
        <w:rPr>
          <w:rFonts w:hint="eastAsia" w:ascii="宋体" w:hAnsi="宋体"/>
          <w:highlight w:val="none"/>
        </w:rPr>
        <w:t>13．磋商保证金</w:t>
      </w:r>
      <w:r>
        <w:rPr>
          <w:highlight w:val="none"/>
        </w:rPr>
        <w:tab/>
      </w:r>
      <w:r>
        <w:rPr>
          <w:highlight w:val="none"/>
        </w:rPr>
        <w:fldChar w:fldCharType="begin"/>
      </w:r>
      <w:r>
        <w:rPr>
          <w:highlight w:val="none"/>
        </w:rPr>
        <w:instrText xml:space="preserve"> PAGEREF _Toc26699 \h </w:instrText>
      </w:r>
      <w:r>
        <w:rPr>
          <w:highlight w:val="none"/>
        </w:rPr>
        <w:fldChar w:fldCharType="separate"/>
      </w:r>
      <w:r>
        <w:rPr>
          <w:highlight w:val="none"/>
        </w:rPr>
        <w:t>19</w:t>
      </w:r>
      <w:r>
        <w:rPr>
          <w:highlight w:val="none"/>
        </w:rPr>
        <w:fldChar w:fldCharType="end"/>
      </w:r>
      <w:r>
        <w:rPr>
          <w:highlight w:val="none"/>
        </w:rPr>
        <w:fldChar w:fldCharType="end"/>
      </w:r>
    </w:p>
    <w:p w14:paraId="149AA707">
      <w:pPr>
        <w:pStyle w:val="210"/>
        <w:tabs>
          <w:tab w:val="right" w:leader="dot" w:pos="9366"/>
        </w:tabs>
        <w:rPr>
          <w:highlight w:val="none"/>
        </w:rPr>
      </w:pPr>
      <w:r>
        <w:rPr>
          <w:highlight w:val="none"/>
        </w:rPr>
        <w:fldChar w:fldCharType="begin"/>
      </w:r>
      <w:r>
        <w:rPr>
          <w:highlight w:val="none"/>
        </w:rPr>
        <w:instrText xml:space="preserve"> HYPERLINK \l _Toc22156 </w:instrText>
      </w:r>
      <w:r>
        <w:rPr>
          <w:highlight w:val="none"/>
        </w:rPr>
        <w:fldChar w:fldCharType="separate"/>
      </w:r>
      <w:r>
        <w:rPr>
          <w:rFonts w:hint="eastAsia" w:ascii="宋体" w:hAnsi="宋体"/>
          <w:highlight w:val="none"/>
        </w:rPr>
        <w:t>14．磋商响应有效期</w:t>
      </w:r>
      <w:r>
        <w:rPr>
          <w:highlight w:val="none"/>
        </w:rPr>
        <w:tab/>
      </w:r>
      <w:r>
        <w:rPr>
          <w:highlight w:val="none"/>
        </w:rPr>
        <w:fldChar w:fldCharType="begin"/>
      </w:r>
      <w:r>
        <w:rPr>
          <w:highlight w:val="none"/>
        </w:rPr>
        <w:instrText xml:space="preserve"> PAGEREF _Toc22156 \h </w:instrText>
      </w:r>
      <w:r>
        <w:rPr>
          <w:highlight w:val="none"/>
        </w:rPr>
        <w:fldChar w:fldCharType="separate"/>
      </w:r>
      <w:r>
        <w:rPr>
          <w:highlight w:val="none"/>
        </w:rPr>
        <w:t>20</w:t>
      </w:r>
      <w:r>
        <w:rPr>
          <w:highlight w:val="none"/>
        </w:rPr>
        <w:fldChar w:fldCharType="end"/>
      </w:r>
      <w:r>
        <w:rPr>
          <w:highlight w:val="none"/>
        </w:rPr>
        <w:fldChar w:fldCharType="end"/>
      </w:r>
    </w:p>
    <w:p w14:paraId="14204F6D">
      <w:pPr>
        <w:pStyle w:val="210"/>
        <w:tabs>
          <w:tab w:val="right" w:leader="dot" w:pos="9366"/>
        </w:tabs>
        <w:rPr>
          <w:highlight w:val="none"/>
        </w:rPr>
      </w:pPr>
      <w:r>
        <w:rPr>
          <w:highlight w:val="none"/>
        </w:rPr>
        <w:fldChar w:fldCharType="begin"/>
      </w:r>
      <w:r>
        <w:rPr>
          <w:highlight w:val="none"/>
        </w:rPr>
        <w:instrText xml:space="preserve"> HYPERLINK \l _Toc11401 </w:instrText>
      </w:r>
      <w:r>
        <w:rPr>
          <w:highlight w:val="none"/>
        </w:rPr>
        <w:fldChar w:fldCharType="separate"/>
      </w:r>
      <w:r>
        <w:rPr>
          <w:rFonts w:hint="eastAsia" w:ascii="宋体" w:hAnsi="宋体"/>
          <w:highlight w:val="none"/>
        </w:rPr>
        <w:t>15. 响应文件的式样和签署</w:t>
      </w:r>
      <w:r>
        <w:rPr>
          <w:highlight w:val="none"/>
        </w:rPr>
        <w:tab/>
      </w:r>
      <w:r>
        <w:rPr>
          <w:highlight w:val="none"/>
        </w:rPr>
        <w:fldChar w:fldCharType="begin"/>
      </w:r>
      <w:r>
        <w:rPr>
          <w:highlight w:val="none"/>
        </w:rPr>
        <w:instrText xml:space="preserve"> PAGEREF _Toc11401 \h </w:instrText>
      </w:r>
      <w:r>
        <w:rPr>
          <w:highlight w:val="none"/>
        </w:rPr>
        <w:fldChar w:fldCharType="separate"/>
      </w:r>
      <w:r>
        <w:rPr>
          <w:highlight w:val="none"/>
        </w:rPr>
        <w:t>20</w:t>
      </w:r>
      <w:r>
        <w:rPr>
          <w:highlight w:val="none"/>
        </w:rPr>
        <w:fldChar w:fldCharType="end"/>
      </w:r>
      <w:r>
        <w:rPr>
          <w:highlight w:val="none"/>
        </w:rPr>
        <w:fldChar w:fldCharType="end"/>
      </w:r>
    </w:p>
    <w:p w14:paraId="7E5892E2">
      <w:pPr>
        <w:pStyle w:val="210"/>
        <w:tabs>
          <w:tab w:val="right" w:leader="dot" w:pos="9366"/>
        </w:tabs>
        <w:rPr>
          <w:highlight w:val="none"/>
        </w:rPr>
      </w:pPr>
      <w:r>
        <w:rPr>
          <w:highlight w:val="none"/>
        </w:rPr>
        <w:fldChar w:fldCharType="begin"/>
      </w:r>
      <w:r>
        <w:rPr>
          <w:highlight w:val="none"/>
        </w:rPr>
        <w:instrText xml:space="preserve"> HYPERLINK \l _Toc29889 </w:instrText>
      </w:r>
      <w:r>
        <w:rPr>
          <w:highlight w:val="none"/>
        </w:rPr>
        <w:fldChar w:fldCharType="separate"/>
      </w:r>
      <w:r>
        <w:rPr>
          <w:rFonts w:hint="eastAsia" w:ascii="宋体" w:hAnsi="宋体"/>
          <w:highlight w:val="none"/>
        </w:rPr>
        <w:t>16．响应文件的提交</w:t>
      </w:r>
      <w:r>
        <w:rPr>
          <w:highlight w:val="none"/>
        </w:rPr>
        <w:tab/>
      </w:r>
      <w:r>
        <w:rPr>
          <w:highlight w:val="none"/>
        </w:rPr>
        <w:fldChar w:fldCharType="begin"/>
      </w:r>
      <w:r>
        <w:rPr>
          <w:highlight w:val="none"/>
        </w:rPr>
        <w:instrText xml:space="preserve"> PAGEREF _Toc29889 \h </w:instrText>
      </w:r>
      <w:r>
        <w:rPr>
          <w:highlight w:val="none"/>
        </w:rPr>
        <w:fldChar w:fldCharType="separate"/>
      </w:r>
      <w:r>
        <w:rPr>
          <w:highlight w:val="none"/>
        </w:rPr>
        <w:t>20</w:t>
      </w:r>
      <w:r>
        <w:rPr>
          <w:highlight w:val="none"/>
        </w:rPr>
        <w:fldChar w:fldCharType="end"/>
      </w:r>
      <w:r>
        <w:rPr>
          <w:highlight w:val="none"/>
        </w:rPr>
        <w:fldChar w:fldCharType="end"/>
      </w:r>
    </w:p>
    <w:p w14:paraId="3A1161C9">
      <w:pPr>
        <w:pStyle w:val="210"/>
        <w:tabs>
          <w:tab w:val="right" w:leader="dot" w:pos="9366"/>
        </w:tabs>
        <w:rPr>
          <w:highlight w:val="none"/>
        </w:rPr>
      </w:pPr>
      <w:r>
        <w:rPr>
          <w:highlight w:val="none"/>
        </w:rPr>
        <w:fldChar w:fldCharType="begin"/>
      </w:r>
      <w:r>
        <w:rPr>
          <w:highlight w:val="none"/>
        </w:rPr>
        <w:instrText xml:space="preserve"> HYPERLINK \l _Toc30781 </w:instrText>
      </w:r>
      <w:r>
        <w:rPr>
          <w:highlight w:val="none"/>
        </w:rPr>
        <w:fldChar w:fldCharType="separate"/>
      </w:r>
      <w:r>
        <w:rPr>
          <w:rFonts w:hint="eastAsia" w:ascii="宋体" w:hAnsi="宋体"/>
          <w:highlight w:val="none"/>
        </w:rPr>
        <w:t>17．响应文件的补充、修改或者撤回</w:t>
      </w:r>
      <w:r>
        <w:rPr>
          <w:highlight w:val="none"/>
        </w:rPr>
        <w:tab/>
      </w:r>
      <w:r>
        <w:rPr>
          <w:highlight w:val="none"/>
        </w:rPr>
        <w:fldChar w:fldCharType="begin"/>
      </w:r>
      <w:r>
        <w:rPr>
          <w:highlight w:val="none"/>
        </w:rPr>
        <w:instrText xml:space="preserve"> PAGEREF _Toc30781 \h </w:instrText>
      </w:r>
      <w:r>
        <w:rPr>
          <w:highlight w:val="none"/>
        </w:rPr>
        <w:fldChar w:fldCharType="separate"/>
      </w:r>
      <w:r>
        <w:rPr>
          <w:highlight w:val="none"/>
        </w:rPr>
        <w:t>21</w:t>
      </w:r>
      <w:r>
        <w:rPr>
          <w:highlight w:val="none"/>
        </w:rPr>
        <w:fldChar w:fldCharType="end"/>
      </w:r>
      <w:r>
        <w:rPr>
          <w:highlight w:val="none"/>
        </w:rPr>
        <w:fldChar w:fldCharType="end"/>
      </w:r>
    </w:p>
    <w:p w14:paraId="3ACEEEB0">
      <w:pPr>
        <w:pStyle w:val="229"/>
        <w:tabs>
          <w:tab w:val="right" w:leader="dot" w:pos="9366"/>
        </w:tabs>
        <w:rPr>
          <w:highlight w:val="none"/>
        </w:rPr>
      </w:pPr>
      <w:r>
        <w:rPr>
          <w:highlight w:val="none"/>
        </w:rPr>
        <w:fldChar w:fldCharType="begin"/>
      </w:r>
      <w:r>
        <w:rPr>
          <w:highlight w:val="none"/>
        </w:rPr>
        <w:instrText xml:space="preserve"> HYPERLINK \l _Toc26960 </w:instrText>
      </w:r>
      <w:r>
        <w:rPr>
          <w:highlight w:val="none"/>
        </w:rPr>
        <w:fldChar w:fldCharType="separate"/>
      </w:r>
      <w:r>
        <w:rPr>
          <w:rFonts w:hint="eastAsia" w:ascii="宋体" w:hAnsi="宋体" w:eastAsia="宋体"/>
          <w:highlight w:val="none"/>
        </w:rPr>
        <w:t>四、磋商与评审</w:t>
      </w:r>
      <w:r>
        <w:rPr>
          <w:highlight w:val="none"/>
        </w:rPr>
        <w:tab/>
      </w:r>
      <w:r>
        <w:rPr>
          <w:highlight w:val="none"/>
        </w:rPr>
        <w:fldChar w:fldCharType="begin"/>
      </w:r>
      <w:r>
        <w:rPr>
          <w:highlight w:val="none"/>
        </w:rPr>
        <w:instrText xml:space="preserve"> PAGEREF _Toc26960 \h </w:instrText>
      </w:r>
      <w:r>
        <w:rPr>
          <w:highlight w:val="none"/>
        </w:rPr>
        <w:fldChar w:fldCharType="separate"/>
      </w:r>
      <w:r>
        <w:rPr>
          <w:highlight w:val="none"/>
        </w:rPr>
        <w:t>21</w:t>
      </w:r>
      <w:r>
        <w:rPr>
          <w:highlight w:val="none"/>
        </w:rPr>
        <w:fldChar w:fldCharType="end"/>
      </w:r>
      <w:r>
        <w:rPr>
          <w:highlight w:val="none"/>
        </w:rPr>
        <w:fldChar w:fldCharType="end"/>
      </w:r>
    </w:p>
    <w:p w14:paraId="5CCDF878">
      <w:pPr>
        <w:pStyle w:val="210"/>
        <w:tabs>
          <w:tab w:val="right" w:leader="dot" w:pos="9366"/>
        </w:tabs>
        <w:rPr>
          <w:highlight w:val="none"/>
        </w:rPr>
      </w:pPr>
      <w:r>
        <w:rPr>
          <w:highlight w:val="none"/>
        </w:rPr>
        <w:fldChar w:fldCharType="begin"/>
      </w:r>
      <w:r>
        <w:rPr>
          <w:highlight w:val="none"/>
        </w:rPr>
        <w:instrText xml:space="preserve"> HYPERLINK \l _Toc13236 </w:instrText>
      </w:r>
      <w:r>
        <w:rPr>
          <w:highlight w:val="none"/>
        </w:rPr>
        <w:fldChar w:fldCharType="separate"/>
      </w:r>
      <w:r>
        <w:rPr>
          <w:rFonts w:hint="eastAsia" w:ascii="宋体" w:hAnsi="宋体"/>
          <w:highlight w:val="none"/>
        </w:rPr>
        <w:t>18．磋商</w:t>
      </w:r>
      <w:r>
        <w:rPr>
          <w:highlight w:val="none"/>
        </w:rPr>
        <w:tab/>
      </w:r>
      <w:r>
        <w:rPr>
          <w:highlight w:val="none"/>
        </w:rPr>
        <w:fldChar w:fldCharType="begin"/>
      </w:r>
      <w:r>
        <w:rPr>
          <w:highlight w:val="none"/>
        </w:rPr>
        <w:instrText xml:space="preserve"> PAGEREF _Toc13236 \h </w:instrText>
      </w:r>
      <w:r>
        <w:rPr>
          <w:highlight w:val="none"/>
        </w:rPr>
        <w:fldChar w:fldCharType="separate"/>
      </w:r>
      <w:r>
        <w:rPr>
          <w:highlight w:val="none"/>
        </w:rPr>
        <w:t>21</w:t>
      </w:r>
      <w:r>
        <w:rPr>
          <w:highlight w:val="none"/>
        </w:rPr>
        <w:fldChar w:fldCharType="end"/>
      </w:r>
      <w:r>
        <w:rPr>
          <w:highlight w:val="none"/>
        </w:rPr>
        <w:fldChar w:fldCharType="end"/>
      </w:r>
    </w:p>
    <w:p w14:paraId="0D772C9B">
      <w:pPr>
        <w:pStyle w:val="210"/>
        <w:tabs>
          <w:tab w:val="right" w:leader="dot" w:pos="9366"/>
        </w:tabs>
        <w:rPr>
          <w:highlight w:val="none"/>
        </w:rPr>
      </w:pPr>
      <w:r>
        <w:rPr>
          <w:highlight w:val="none"/>
        </w:rPr>
        <w:fldChar w:fldCharType="begin"/>
      </w:r>
      <w:r>
        <w:rPr>
          <w:highlight w:val="none"/>
        </w:rPr>
        <w:instrText xml:space="preserve"> HYPERLINK \l _Toc2850 </w:instrText>
      </w:r>
      <w:r>
        <w:rPr>
          <w:highlight w:val="none"/>
        </w:rPr>
        <w:fldChar w:fldCharType="separate"/>
      </w:r>
      <w:r>
        <w:rPr>
          <w:rFonts w:hint="eastAsia" w:ascii="宋体" w:hAnsi="宋体"/>
          <w:highlight w:val="none"/>
        </w:rPr>
        <w:t>19．磋商小组组成</w:t>
      </w:r>
      <w:r>
        <w:rPr>
          <w:highlight w:val="none"/>
        </w:rPr>
        <w:tab/>
      </w:r>
      <w:r>
        <w:rPr>
          <w:highlight w:val="none"/>
        </w:rPr>
        <w:fldChar w:fldCharType="begin"/>
      </w:r>
      <w:r>
        <w:rPr>
          <w:highlight w:val="none"/>
        </w:rPr>
        <w:instrText xml:space="preserve"> PAGEREF _Toc2850 \h </w:instrText>
      </w:r>
      <w:r>
        <w:rPr>
          <w:highlight w:val="none"/>
        </w:rPr>
        <w:fldChar w:fldCharType="separate"/>
      </w:r>
      <w:r>
        <w:rPr>
          <w:highlight w:val="none"/>
        </w:rPr>
        <w:t>22</w:t>
      </w:r>
      <w:r>
        <w:rPr>
          <w:highlight w:val="none"/>
        </w:rPr>
        <w:fldChar w:fldCharType="end"/>
      </w:r>
      <w:r>
        <w:rPr>
          <w:highlight w:val="none"/>
        </w:rPr>
        <w:fldChar w:fldCharType="end"/>
      </w:r>
    </w:p>
    <w:p w14:paraId="412F17D8">
      <w:pPr>
        <w:pStyle w:val="210"/>
        <w:tabs>
          <w:tab w:val="right" w:leader="dot" w:pos="9366"/>
        </w:tabs>
        <w:rPr>
          <w:highlight w:val="none"/>
        </w:rPr>
      </w:pPr>
      <w:r>
        <w:rPr>
          <w:highlight w:val="none"/>
        </w:rPr>
        <w:fldChar w:fldCharType="begin"/>
      </w:r>
      <w:r>
        <w:rPr>
          <w:highlight w:val="none"/>
        </w:rPr>
        <w:instrText xml:space="preserve"> HYPERLINK \l _Toc29374 </w:instrText>
      </w:r>
      <w:r>
        <w:rPr>
          <w:highlight w:val="none"/>
        </w:rPr>
        <w:fldChar w:fldCharType="separate"/>
      </w:r>
      <w:r>
        <w:rPr>
          <w:rFonts w:hint="eastAsia" w:ascii="宋体" w:hAnsi="宋体"/>
          <w:highlight w:val="none"/>
        </w:rPr>
        <w:t>20．无效磋商的情形</w:t>
      </w:r>
      <w:r>
        <w:rPr>
          <w:highlight w:val="none"/>
        </w:rPr>
        <w:tab/>
      </w:r>
      <w:r>
        <w:rPr>
          <w:highlight w:val="none"/>
        </w:rPr>
        <w:fldChar w:fldCharType="begin"/>
      </w:r>
      <w:r>
        <w:rPr>
          <w:highlight w:val="none"/>
        </w:rPr>
        <w:instrText xml:space="preserve"> PAGEREF _Toc29374 \h </w:instrText>
      </w:r>
      <w:r>
        <w:rPr>
          <w:highlight w:val="none"/>
        </w:rPr>
        <w:fldChar w:fldCharType="separate"/>
      </w:r>
      <w:r>
        <w:rPr>
          <w:highlight w:val="none"/>
        </w:rPr>
        <w:t>22</w:t>
      </w:r>
      <w:r>
        <w:rPr>
          <w:highlight w:val="none"/>
        </w:rPr>
        <w:fldChar w:fldCharType="end"/>
      </w:r>
      <w:r>
        <w:rPr>
          <w:highlight w:val="none"/>
        </w:rPr>
        <w:fldChar w:fldCharType="end"/>
      </w:r>
    </w:p>
    <w:p w14:paraId="0DD11192">
      <w:pPr>
        <w:pStyle w:val="210"/>
        <w:tabs>
          <w:tab w:val="right" w:leader="dot" w:pos="9366"/>
        </w:tabs>
        <w:rPr>
          <w:highlight w:val="none"/>
        </w:rPr>
      </w:pPr>
      <w:r>
        <w:rPr>
          <w:highlight w:val="none"/>
        </w:rPr>
        <w:fldChar w:fldCharType="begin"/>
      </w:r>
      <w:r>
        <w:rPr>
          <w:highlight w:val="none"/>
        </w:rPr>
        <w:instrText xml:space="preserve"> HYPERLINK \l _Toc32039 </w:instrText>
      </w:r>
      <w:r>
        <w:rPr>
          <w:highlight w:val="none"/>
        </w:rPr>
        <w:fldChar w:fldCharType="separate"/>
      </w:r>
      <w:r>
        <w:rPr>
          <w:rFonts w:hint="eastAsia" w:ascii="宋体" w:hAnsi="宋体"/>
          <w:highlight w:val="none"/>
        </w:rPr>
        <w:t>21．串通磋商的情形</w:t>
      </w:r>
      <w:r>
        <w:rPr>
          <w:highlight w:val="none"/>
        </w:rPr>
        <w:tab/>
      </w:r>
      <w:r>
        <w:rPr>
          <w:highlight w:val="none"/>
        </w:rPr>
        <w:fldChar w:fldCharType="begin"/>
      </w:r>
      <w:r>
        <w:rPr>
          <w:highlight w:val="none"/>
        </w:rPr>
        <w:instrText xml:space="preserve"> PAGEREF _Toc32039 \h </w:instrText>
      </w:r>
      <w:r>
        <w:rPr>
          <w:highlight w:val="none"/>
        </w:rPr>
        <w:fldChar w:fldCharType="separate"/>
      </w:r>
      <w:r>
        <w:rPr>
          <w:highlight w:val="none"/>
        </w:rPr>
        <w:t>23</w:t>
      </w:r>
      <w:r>
        <w:rPr>
          <w:highlight w:val="none"/>
        </w:rPr>
        <w:fldChar w:fldCharType="end"/>
      </w:r>
      <w:r>
        <w:rPr>
          <w:highlight w:val="none"/>
        </w:rPr>
        <w:fldChar w:fldCharType="end"/>
      </w:r>
    </w:p>
    <w:p w14:paraId="787A9D00">
      <w:pPr>
        <w:pStyle w:val="210"/>
        <w:tabs>
          <w:tab w:val="right" w:leader="dot" w:pos="9366"/>
        </w:tabs>
        <w:rPr>
          <w:highlight w:val="none"/>
        </w:rPr>
      </w:pPr>
      <w:r>
        <w:rPr>
          <w:highlight w:val="none"/>
        </w:rPr>
        <w:fldChar w:fldCharType="begin"/>
      </w:r>
      <w:r>
        <w:rPr>
          <w:highlight w:val="none"/>
        </w:rPr>
        <w:instrText xml:space="preserve"> HYPERLINK \l _Toc14689 </w:instrText>
      </w:r>
      <w:r>
        <w:rPr>
          <w:highlight w:val="none"/>
        </w:rPr>
        <w:fldChar w:fldCharType="separate"/>
      </w:r>
      <w:r>
        <w:rPr>
          <w:rFonts w:hint="eastAsia" w:ascii="宋体" w:hAnsi="宋体"/>
          <w:highlight w:val="none"/>
        </w:rPr>
        <w:t>22．响应文件的澄清</w:t>
      </w:r>
      <w:r>
        <w:rPr>
          <w:highlight w:val="none"/>
        </w:rPr>
        <w:tab/>
      </w:r>
      <w:r>
        <w:rPr>
          <w:highlight w:val="none"/>
        </w:rPr>
        <w:fldChar w:fldCharType="begin"/>
      </w:r>
      <w:r>
        <w:rPr>
          <w:highlight w:val="none"/>
        </w:rPr>
        <w:instrText xml:space="preserve"> PAGEREF _Toc14689 \h </w:instrText>
      </w:r>
      <w:r>
        <w:rPr>
          <w:highlight w:val="none"/>
        </w:rPr>
        <w:fldChar w:fldCharType="separate"/>
      </w:r>
      <w:r>
        <w:rPr>
          <w:highlight w:val="none"/>
        </w:rPr>
        <w:t>24</w:t>
      </w:r>
      <w:r>
        <w:rPr>
          <w:highlight w:val="none"/>
        </w:rPr>
        <w:fldChar w:fldCharType="end"/>
      </w:r>
      <w:r>
        <w:rPr>
          <w:highlight w:val="none"/>
        </w:rPr>
        <w:fldChar w:fldCharType="end"/>
      </w:r>
    </w:p>
    <w:p w14:paraId="71E71F70">
      <w:pPr>
        <w:pStyle w:val="210"/>
        <w:tabs>
          <w:tab w:val="right" w:leader="dot" w:pos="9366"/>
        </w:tabs>
        <w:rPr>
          <w:highlight w:val="none"/>
        </w:rPr>
      </w:pPr>
      <w:r>
        <w:rPr>
          <w:highlight w:val="none"/>
        </w:rPr>
        <w:fldChar w:fldCharType="begin"/>
      </w:r>
      <w:r>
        <w:rPr>
          <w:highlight w:val="none"/>
        </w:rPr>
        <w:instrText xml:space="preserve"> HYPERLINK \l _Toc21698 </w:instrText>
      </w:r>
      <w:r>
        <w:rPr>
          <w:highlight w:val="none"/>
        </w:rPr>
        <w:fldChar w:fldCharType="separate"/>
      </w:r>
      <w:r>
        <w:rPr>
          <w:rFonts w:hint="eastAsia" w:ascii="宋体" w:hAnsi="宋体"/>
          <w:highlight w:val="none"/>
        </w:rPr>
        <w:t>23．磋商内容</w:t>
      </w:r>
      <w:r>
        <w:rPr>
          <w:highlight w:val="none"/>
        </w:rPr>
        <w:tab/>
      </w:r>
      <w:r>
        <w:rPr>
          <w:highlight w:val="none"/>
        </w:rPr>
        <w:fldChar w:fldCharType="begin"/>
      </w:r>
      <w:r>
        <w:rPr>
          <w:highlight w:val="none"/>
        </w:rPr>
        <w:instrText xml:space="preserve"> PAGEREF _Toc21698 \h </w:instrText>
      </w:r>
      <w:r>
        <w:rPr>
          <w:highlight w:val="none"/>
        </w:rPr>
        <w:fldChar w:fldCharType="separate"/>
      </w:r>
      <w:r>
        <w:rPr>
          <w:highlight w:val="none"/>
        </w:rPr>
        <w:t>24</w:t>
      </w:r>
      <w:r>
        <w:rPr>
          <w:highlight w:val="none"/>
        </w:rPr>
        <w:fldChar w:fldCharType="end"/>
      </w:r>
      <w:r>
        <w:rPr>
          <w:highlight w:val="none"/>
        </w:rPr>
        <w:fldChar w:fldCharType="end"/>
      </w:r>
    </w:p>
    <w:p w14:paraId="0086D933">
      <w:pPr>
        <w:pStyle w:val="210"/>
        <w:tabs>
          <w:tab w:val="right" w:leader="dot" w:pos="9366"/>
        </w:tabs>
        <w:rPr>
          <w:highlight w:val="none"/>
        </w:rPr>
      </w:pPr>
      <w:r>
        <w:rPr>
          <w:highlight w:val="none"/>
        </w:rPr>
        <w:fldChar w:fldCharType="begin"/>
      </w:r>
      <w:r>
        <w:rPr>
          <w:highlight w:val="none"/>
        </w:rPr>
        <w:instrText xml:space="preserve"> HYPERLINK \l _Toc11045 </w:instrText>
      </w:r>
      <w:r>
        <w:rPr>
          <w:highlight w:val="none"/>
        </w:rPr>
        <w:fldChar w:fldCharType="separate"/>
      </w:r>
      <w:r>
        <w:rPr>
          <w:rFonts w:hint="eastAsia" w:ascii="宋体" w:hAnsi="宋体"/>
          <w:highlight w:val="none"/>
        </w:rPr>
        <w:t>24．最后报价的提交</w:t>
      </w:r>
      <w:r>
        <w:rPr>
          <w:highlight w:val="none"/>
        </w:rPr>
        <w:tab/>
      </w:r>
      <w:r>
        <w:rPr>
          <w:highlight w:val="none"/>
        </w:rPr>
        <w:fldChar w:fldCharType="begin"/>
      </w:r>
      <w:r>
        <w:rPr>
          <w:highlight w:val="none"/>
        </w:rPr>
        <w:instrText xml:space="preserve"> PAGEREF _Toc11045 \h </w:instrText>
      </w:r>
      <w:r>
        <w:rPr>
          <w:highlight w:val="none"/>
        </w:rPr>
        <w:fldChar w:fldCharType="separate"/>
      </w:r>
      <w:r>
        <w:rPr>
          <w:highlight w:val="none"/>
        </w:rPr>
        <w:t>25</w:t>
      </w:r>
      <w:r>
        <w:rPr>
          <w:highlight w:val="none"/>
        </w:rPr>
        <w:fldChar w:fldCharType="end"/>
      </w:r>
      <w:r>
        <w:rPr>
          <w:highlight w:val="none"/>
        </w:rPr>
        <w:fldChar w:fldCharType="end"/>
      </w:r>
    </w:p>
    <w:p w14:paraId="71EF713F">
      <w:pPr>
        <w:pStyle w:val="210"/>
        <w:tabs>
          <w:tab w:val="right" w:leader="dot" w:pos="9366"/>
        </w:tabs>
        <w:rPr>
          <w:highlight w:val="none"/>
        </w:rPr>
      </w:pPr>
      <w:r>
        <w:rPr>
          <w:highlight w:val="none"/>
        </w:rPr>
        <w:fldChar w:fldCharType="begin"/>
      </w:r>
      <w:r>
        <w:rPr>
          <w:highlight w:val="none"/>
        </w:rPr>
        <w:instrText xml:space="preserve"> HYPERLINK \l _Toc9309 </w:instrText>
      </w:r>
      <w:r>
        <w:rPr>
          <w:highlight w:val="none"/>
        </w:rPr>
        <w:fldChar w:fldCharType="separate"/>
      </w:r>
      <w:r>
        <w:rPr>
          <w:rFonts w:hint="eastAsia" w:ascii="宋体" w:hAnsi="宋体"/>
          <w:highlight w:val="none"/>
        </w:rPr>
        <w:t>25．</w:t>
      </w:r>
      <w:r>
        <w:rPr>
          <w:rFonts w:ascii="宋体" w:hAnsi="宋体"/>
          <w:highlight w:val="none"/>
        </w:rPr>
        <w:t>竞争性磋商</w:t>
      </w:r>
      <w:r>
        <w:rPr>
          <w:rFonts w:hint="eastAsia" w:ascii="宋体" w:hAnsi="宋体"/>
          <w:highlight w:val="none"/>
        </w:rPr>
        <w:t>特殊情况处理</w:t>
      </w:r>
      <w:r>
        <w:rPr>
          <w:highlight w:val="none"/>
        </w:rPr>
        <w:tab/>
      </w:r>
      <w:r>
        <w:rPr>
          <w:highlight w:val="none"/>
        </w:rPr>
        <w:fldChar w:fldCharType="begin"/>
      </w:r>
      <w:r>
        <w:rPr>
          <w:highlight w:val="none"/>
        </w:rPr>
        <w:instrText xml:space="preserve"> PAGEREF _Toc9309 \h </w:instrText>
      </w:r>
      <w:r>
        <w:rPr>
          <w:highlight w:val="none"/>
        </w:rPr>
        <w:fldChar w:fldCharType="separate"/>
      </w:r>
      <w:r>
        <w:rPr>
          <w:highlight w:val="none"/>
        </w:rPr>
        <w:t>25</w:t>
      </w:r>
      <w:r>
        <w:rPr>
          <w:highlight w:val="none"/>
        </w:rPr>
        <w:fldChar w:fldCharType="end"/>
      </w:r>
      <w:r>
        <w:rPr>
          <w:highlight w:val="none"/>
        </w:rPr>
        <w:fldChar w:fldCharType="end"/>
      </w:r>
    </w:p>
    <w:p w14:paraId="7ACF72A0">
      <w:pPr>
        <w:pStyle w:val="229"/>
        <w:tabs>
          <w:tab w:val="right" w:leader="dot" w:pos="9366"/>
        </w:tabs>
        <w:rPr>
          <w:highlight w:val="none"/>
        </w:rPr>
      </w:pPr>
      <w:r>
        <w:rPr>
          <w:highlight w:val="none"/>
        </w:rPr>
        <w:fldChar w:fldCharType="begin"/>
      </w:r>
      <w:r>
        <w:rPr>
          <w:highlight w:val="none"/>
        </w:rPr>
        <w:instrText xml:space="preserve"> HYPERLINK \l _Toc8639 </w:instrText>
      </w:r>
      <w:r>
        <w:rPr>
          <w:highlight w:val="none"/>
        </w:rPr>
        <w:fldChar w:fldCharType="separate"/>
      </w:r>
      <w:r>
        <w:rPr>
          <w:rFonts w:hint="eastAsia" w:ascii="宋体" w:hAnsi="宋体" w:eastAsia="宋体"/>
          <w:highlight w:val="none"/>
        </w:rPr>
        <w:t>五、确定成交结果</w:t>
      </w:r>
      <w:r>
        <w:rPr>
          <w:highlight w:val="none"/>
        </w:rPr>
        <w:tab/>
      </w:r>
      <w:r>
        <w:rPr>
          <w:highlight w:val="none"/>
        </w:rPr>
        <w:fldChar w:fldCharType="begin"/>
      </w:r>
      <w:r>
        <w:rPr>
          <w:highlight w:val="none"/>
        </w:rPr>
        <w:instrText xml:space="preserve"> PAGEREF _Toc8639 \h </w:instrText>
      </w:r>
      <w:r>
        <w:rPr>
          <w:highlight w:val="none"/>
        </w:rPr>
        <w:fldChar w:fldCharType="separate"/>
      </w:r>
      <w:r>
        <w:rPr>
          <w:highlight w:val="none"/>
        </w:rPr>
        <w:t>26</w:t>
      </w:r>
      <w:r>
        <w:rPr>
          <w:highlight w:val="none"/>
        </w:rPr>
        <w:fldChar w:fldCharType="end"/>
      </w:r>
      <w:r>
        <w:rPr>
          <w:highlight w:val="none"/>
        </w:rPr>
        <w:fldChar w:fldCharType="end"/>
      </w:r>
    </w:p>
    <w:p w14:paraId="6ADAFA68">
      <w:pPr>
        <w:pStyle w:val="210"/>
        <w:tabs>
          <w:tab w:val="right" w:leader="dot" w:pos="9366"/>
        </w:tabs>
        <w:rPr>
          <w:highlight w:val="none"/>
        </w:rPr>
      </w:pPr>
      <w:r>
        <w:rPr>
          <w:highlight w:val="none"/>
        </w:rPr>
        <w:fldChar w:fldCharType="begin"/>
      </w:r>
      <w:r>
        <w:rPr>
          <w:highlight w:val="none"/>
        </w:rPr>
        <w:instrText xml:space="preserve"> HYPERLINK \l _Toc5097 </w:instrText>
      </w:r>
      <w:r>
        <w:rPr>
          <w:highlight w:val="none"/>
        </w:rPr>
        <w:fldChar w:fldCharType="separate"/>
      </w:r>
      <w:r>
        <w:rPr>
          <w:rFonts w:hint="eastAsia" w:ascii="宋体" w:hAnsi="宋体"/>
          <w:highlight w:val="none"/>
        </w:rPr>
        <w:t>26．确定成交供应商</w:t>
      </w:r>
      <w:r>
        <w:rPr>
          <w:highlight w:val="none"/>
        </w:rPr>
        <w:tab/>
      </w:r>
      <w:r>
        <w:rPr>
          <w:highlight w:val="none"/>
        </w:rPr>
        <w:fldChar w:fldCharType="begin"/>
      </w:r>
      <w:r>
        <w:rPr>
          <w:highlight w:val="none"/>
        </w:rPr>
        <w:instrText xml:space="preserve"> PAGEREF _Toc5097 \h </w:instrText>
      </w:r>
      <w:r>
        <w:rPr>
          <w:highlight w:val="none"/>
        </w:rPr>
        <w:fldChar w:fldCharType="separate"/>
      </w:r>
      <w:r>
        <w:rPr>
          <w:highlight w:val="none"/>
        </w:rPr>
        <w:t>26</w:t>
      </w:r>
      <w:r>
        <w:rPr>
          <w:highlight w:val="none"/>
        </w:rPr>
        <w:fldChar w:fldCharType="end"/>
      </w:r>
      <w:r>
        <w:rPr>
          <w:highlight w:val="none"/>
        </w:rPr>
        <w:fldChar w:fldCharType="end"/>
      </w:r>
    </w:p>
    <w:p w14:paraId="75A658AA">
      <w:pPr>
        <w:pStyle w:val="229"/>
        <w:tabs>
          <w:tab w:val="right" w:leader="dot" w:pos="9366"/>
        </w:tabs>
        <w:rPr>
          <w:highlight w:val="none"/>
        </w:rPr>
      </w:pPr>
      <w:r>
        <w:rPr>
          <w:highlight w:val="none"/>
        </w:rPr>
        <w:fldChar w:fldCharType="begin"/>
      </w:r>
      <w:r>
        <w:rPr>
          <w:highlight w:val="none"/>
        </w:rPr>
        <w:instrText xml:space="preserve"> HYPERLINK \l _Toc20011 </w:instrText>
      </w:r>
      <w:r>
        <w:rPr>
          <w:highlight w:val="none"/>
        </w:rPr>
        <w:fldChar w:fldCharType="separate"/>
      </w:r>
      <w:r>
        <w:rPr>
          <w:rFonts w:hint="eastAsia" w:ascii="宋体" w:hAnsi="宋体" w:eastAsia="宋体"/>
          <w:highlight w:val="none"/>
        </w:rPr>
        <w:t>六、授予合同</w:t>
      </w:r>
      <w:r>
        <w:rPr>
          <w:highlight w:val="none"/>
        </w:rPr>
        <w:tab/>
      </w:r>
      <w:r>
        <w:rPr>
          <w:highlight w:val="none"/>
        </w:rPr>
        <w:fldChar w:fldCharType="begin"/>
      </w:r>
      <w:r>
        <w:rPr>
          <w:highlight w:val="none"/>
        </w:rPr>
        <w:instrText xml:space="preserve"> PAGEREF _Toc20011 \h </w:instrText>
      </w:r>
      <w:r>
        <w:rPr>
          <w:highlight w:val="none"/>
        </w:rPr>
        <w:fldChar w:fldCharType="separate"/>
      </w:r>
      <w:r>
        <w:rPr>
          <w:highlight w:val="none"/>
        </w:rPr>
        <w:t>26</w:t>
      </w:r>
      <w:r>
        <w:rPr>
          <w:highlight w:val="none"/>
        </w:rPr>
        <w:fldChar w:fldCharType="end"/>
      </w:r>
      <w:r>
        <w:rPr>
          <w:highlight w:val="none"/>
        </w:rPr>
        <w:fldChar w:fldCharType="end"/>
      </w:r>
    </w:p>
    <w:p w14:paraId="041CD569">
      <w:pPr>
        <w:pStyle w:val="210"/>
        <w:tabs>
          <w:tab w:val="right" w:leader="dot" w:pos="9366"/>
        </w:tabs>
        <w:rPr>
          <w:highlight w:val="none"/>
        </w:rPr>
      </w:pPr>
      <w:r>
        <w:rPr>
          <w:highlight w:val="none"/>
        </w:rPr>
        <w:fldChar w:fldCharType="begin"/>
      </w:r>
      <w:r>
        <w:rPr>
          <w:highlight w:val="none"/>
        </w:rPr>
        <w:instrText xml:space="preserve"> HYPERLINK \l _Toc15894 </w:instrText>
      </w:r>
      <w:r>
        <w:rPr>
          <w:highlight w:val="none"/>
        </w:rPr>
        <w:fldChar w:fldCharType="separate"/>
      </w:r>
      <w:r>
        <w:rPr>
          <w:rFonts w:hint="eastAsia" w:ascii="宋体" w:hAnsi="宋体"/>
          <w:highlight w:val="none"/>
        </w:rPr>
        <w:t>27．磋商组织方接受和拒绝任何或所有响应的权利</w:t>
      </w:r>
      <w:r>
        <w:rPr>
          <w:highlight w:val="none"/>
        </w:rPr>
        <w:tab/>
      </w:r>
      <w:r>
        <w:rPr>
          <w:highlight w:val="none"/>
        </w:rPr>
        <w:fldChar w:fldCharType="begin"/>
      </w:r>
      <w:r>
        <w:rPr>
          <w:highlight w:val="none"/>
        </w:rPr>
        <w:instrText xml:space="preserve"> PAGEREF _Toc15894 \h </w:instrText>
      </w:r>
      <w:r>
        <w:rPr>
          <w:highlight w:val="none"/>
        </w:rPr>
        <w:fldChar w:fldCharType="separate"/>
      </w:r>
      <w:r>
        <w:rPr>
          <w:highlight w:val="none"/>
        </w:rPr>
        <w:t>26</w:t>
      </w:r>
      <w:r>
        <w:rPr>
          <w:highlight w:val="none"/>
        </w:rPr>
        <w:fldChar w:fldCharType="end"/>
      </w:r>
      <w:r>
        <w:rPr>
          <w:highlight w:val="none"/>
        </w:rPr>
        <w:fldChar w:fldCharType="end"/>
      </w:r>
    </w:p>
    <w:p w14:paraId="3D744B6F">
      <w:pPr>
        <w:pStyle w:val="210"/>
        <w:tabs>
          <w:tab w:val="right" w:leader="dot" w:pos="9366"/>
        </w:tabs>
        <w:rPr>
          <w:highlight w:val="none"/>
        </w:rPr>
      </w:pPr>
      <w:r>
        <w:rPr>
          <w:highlight w:val="none"/>
        </w:rPr>
        <w:fldChar w:fldCharType="begin"/>
      </w:r>
      <w:r>
        <w:rPr>
          <w:highlight w:val="none"/>
        </w:rPr>
        <w:instrText xml:space="preserve"> HYPERLINK \l _Toc24431 </w:instrText>
      </w:r>
      <w:r>
        <w:rPr>
          <w:highlight w:val="none"/>
        </w:rPr>
        <w:fldChar w:fldCharType="separate"/>
      </w:r>
      <w:r>
        <w:rPr>
          <w:rFonts w:hint="eastAsia" w:ascii="宋体" w:hAnsi="宋体"/>
          <w:highlight w:val="none"/>
        </w:rPr>
        <w:t>28．成交通知书</w:t>
      </w:r>
      <w:r>
        <w:rPr>
          <w:highlight w:val="none"/>
        </w:rPr>
        <w:tab/>
      </w:r>
      <w:r>
        <w:rPr>
          <w:highlight w:val="none"/>
        </w:rPr>
        <w:fldChar w:fldCharType="begin"/>
      </w:r>
      <w:r>
        <w:rPr>
          <w:highlight w:val="none"/>
        </w:rPr>
        <w:instrText xml:space="preserve"> PAGEREF _Toc24431 \h </w:instrText>
      </w:r>
      <w:r>
        <w:rPr>
          <w:highlight w:val="none"/>
        </w:rPr>
        <w:fldChar w:fldCharType="separate"/>
      </w:r>
      <w:r>
        <w:rPr>
          <w:highlight w:val="none"/>
        </w:rPr>
        <w:t>26</w:t>
      </w:r>
      <w:r>
        <w:rPr>
          <w:highlight w:val="none"/>
        </w:rPr>
        <w:fldChar w:fldCharType="end"/>
      </w:r>
      <w:r>
        <w:rPr>
          <w:highlight w:val="none"/>
        </w:rPr>
        <w:fldChar w:fldCharType="end"/>
      </w:r>
    </w:p>
    <w:p w14:paraId="526FBC9F">
      <w:pPr>
        <w:pStyle w:val="210"/>
        <w:tabs>
          <w:tab w:val="right" w:leader="dot" w:pos="9366"/>
        </w:tabs>
        <w:rPr>
          <w:highlight w:val="none"/>
        </w:rPr>
      </w:pPr>
      <w:r>
        <w:rPr>
          <w:highlight w:val="none"/>
        </w:rPr>
        <w:fldChar w:fldCharType="begin"/>
      </w:r>
      <w:r>
        <w:rPr>
          <w:highlight w:val="none"/>
        </w:rPr>
        <w:instrText xml:space="preserve"> HYPERLINK \l _Toc130 </w:instrText>
      </w:r>
      <w:r>
        <w:rPr>
          <w:highlight w:val="none"/>
        </w:rPr>
        <w:fldChar w:fldCharType="separate"/>
      </w:r>
      <w:r>
        <w:rPr>
          <w:rFonts w:hint="eastAsia" w:ascii="宋体" w:hAnsi="宋体"/>
          <w:highlight w:val="none"/>
        </w:rPr>
        <w:t>29．签订合同</w:t>
      </w:r>
      <w:r>
        <w:rPr>
          <w:highlight w:val="none"/>
        </w:rPr>
        <w:tab/>
      </w:r>
      <w:r>
        <w:rPr>
          <w:highlight w:val="none"/>
        </w:rPr>
        <w:fldChar w:fldCharType="begin"/>
      </w:r>
      <w:r>
        <w:rPr>
          <w:highlight w:val="none"/>
        </w:rPr>
        <w:instrText xml:space="preserve"> PAGEREF _Toc130 \h </w:instrText>
      </w:r>
      <w:r>
        <w:rPr>
          <w:highlight w:val="none"/>
        </w:rPr>
        <w:fldChar w:fldCharType="separate"/>
      </w:r>
      <w:r>
        <w:rPr>
          <w:highlight w:val="none"/>
        </w:rPr>
        <w:t>27</w:t>
      </w:r>
      <w:r>
        <w:rPr>
          <w:highlight w:val="none"/>
        </w:rPr>
        <w:fldChar w:fldCharType="end"/>
      </w:r>
      <w:r>
        <w:rPr>
          <w:highlight w:val="none"/>
        </w:rPr>
        <w:fldChar w:fldCharType="end"/>
      </w:r>
    </w:p>
    <w:p w14:paraId="07718A8E">
      <w:pPr>
        <w:pStyle w:val="210"/>
        <w:tabs>
          <w:tab w:val="right" w:leader="dot" w:pos="9366"/>
        </w:tabs>
        <w:rPr>
          <w:highlight w:val="none"/>
        </w:rPr>
      </w:pPr>
      <w:r>
        <w:rPr>
          <w:highlight w:val="none"/>
        </w:rPr>
        <w:fldChar w:fldCharType="begin"/>
      </w:r>
      <w:r>
        <w:rPr>
          <w:highlight w:val="none"/>
        </w:rPr>
        <w:instrText xml:space="preserve"> HYPERLINK \l _Toc17567 </w:instrText>
      </w:r>
      <w:r>
        <w:rPr>
          <w:highlight w:val="none"/>
        </w:rPr>
        <w:fldChar w:fldCharType="separate"/>
      </w:r>
      <w:r>
        <w:rPr>
          <w:rFonts w:hint="eastAsia" w:ascii="宋体" w:hAnsi="宋体"/>
          <w:highlight w:val="none"/>
        </w:rPr>
        <w:t>30．履约保证金</w:t>
      </w:r>
      <w:r>
        <w:rPr>
          <w:highlight w:val="none"/>
        </w:rPr>
        <w:tab/>
      </w:r>
      <w:r>
        <w:rPr>
          <w:highlight w:val="none"/>
        </w:rPr>
        <w:fldChar w:fldCharType="begin"/>
      </w:r>
      <w:r>
        <w:rPr>
          <w:highlight w:val="none"/>
        </w:rPr>
        <w:instrText xml:space="preserve"> PAGEREF _Toc17567 \h </w:instrText>
      </w:r>
      <w:r>
        <w:rPr>
          <w:highlight w:val="none"/>
        </w:rPr>
        <w:fldChar w:fldCharType="separate"/>
      </w:r>
      <w:r>
        <w:rPr>
          <w:highlight w:val="none"/>
        </w:rPr>
        <w:t>27</w:t>
      </w:r>
      <w:r>
        <w:rPr>
          <w:highlight w:val="none"/>
        </w:rPr>
        <w:fldChar w:fldCharType="end"/>
      </w:r>
      <w:r>
        <w:rPr>
          <w:highlight w:val="none"/>
        </w:rPr>
        <w:fldChar w:fldCharType="end"/>
      </w:r>
    </w:p>
    <w:p w14:paraId="4410C6E6">
      <w:pPr>
        <w:pStyle w:val="229"/>
        <w:tabs>
          <w:tab w:val="right" w:leader="dot" w:pos="9366"/>
        </w:tabs>
        <w:rPr>
          <w:highlight w:val="none"/>
        </w:rPr>
      </w:pPr>
      <w:r>
        <w:rPr>
          <w:highlight w:val="none"/>
        </w:rPr>
        <w:fldChar w:fldCharType="begin"/>
      </w:r>
      <w:r>
        <w:rPr>
          <w:highlight w:val="none"/>
        </w:rPr>
        <w:instrText xml:space="preserve"> HYPERLINK \l _Toc7733 </w:instrText>
      </w:r>
      <w:r>
        <w:rPr>
          <w:highlight w:val="none"/>
        </w:rPr>
        <w:fldChar w:fldCharType="separate"/>
      </w:r>
      <w:r>
        <w:rPr>
          <w:rFonts w:hint="eastAsia" w:ascii="宋体" w:hAnsi="宋体" w:eastAsia="宋体"/>
          <w:highlight w:val="none"/>
        </w:rPr>
        <w:t>七、询问、质疑、投诉</w:t>
      </w:r>
      <w:r>
        <w:rPr>
          <w:highlight w:val="none"/>
        </w:rPr>
        <w:tab/>
      </w:r>
      <w:r>
        <w:rPr>
          <w:highlight w:val="none"/>
        </w:rPr>
        <w:fldChar w:fldCharType="begin"/>
      </w:r>
      <w:r>
        <w:rPr>
          <w:highlight w:val="none"/>
        </w:rPr>
        <w:instrText xml:space="preserve"> PAGEREF _Toc7733 \h </w:instrText>
      </w:r>
      <w:r>
        <w:rPr>
          <w:highlight w:val="none"/>
        </w:rPr>
        <w:fldChar w:fldCharType="separate"/>
      </w:r>
      <w:r>
        <w:rPr>
          <w:highlight w:val="none"/>
        </w:rPr>
        <w:t>28</w:t>
      </w:r>
      <w:r>
        <w:rPr>
          <w:highlight w:val="none"/>
        </w:rPr>
        <w:fldChar w:fldCharType="end"/>
      </w:r>
      <w:r>
        <w:rPr>
          <w:highlight w:val="none"/>
        </w:rPr>
        <w:fldChar w:fldCharType="end"/>
      </w:r>
    </w:p>
    <w:p w14:paraId="0A4182A1">
      <w:pPr>
        <w:pStyle w:val="210"/>
        <w:tabs>
          <w:tab w:val="right" w:leader="dot" w:pos="9366"/>
        </w:tabs>
        <w:rPr>
          <w:highlight w:val="none"/>
        </w:rPr>
      </w:pPr>
      <w:r>
        <w:rPr>
          <w:highlight w:val="none"/>
        </w:rPr>
        <w:fldChar w:fldCharType="begin"/>
      </w:r>
      <w:r>
        <w:rPr>
          <w:highlight w:val="none"/>
        </w:rPr>
        <w:instrText xml:space="preserve"> HYPERLINK \l _Toc3036 </w:instrText>
      </w:r>
      <w:r>
        <w:rPr>
          <w:highlight w:val="none"/>
        </w:rPr>
        <w:fldChar w:fldCharType="separate"/>
      </w:r>
      <w:r>
        <w:rPr>
          <w:rFonts w:hint="eastAsia" w:ascii="宋体" w:hAnsi="宋体"/>
          <w:highlight w:val="none"/>
        </w:rPr>
        <w:t>31．询问</w:t>
      </w:r>
      <w:r>
        <w:rPr>
          <w:highlight w:val="none"/>
        </w:rPr>
        <w:tab/>
      </w:r>
      <w:r>
        <w:rPr>
          <w:highlight w:val="none"/>
        </w:rPr>
        <w:fldChar w:fldCharType="begin"/>
      </w:r>
      <w:r>
        <w:rPr>
          <w:highlight w:val="none"/>
        </w:rPr>
        <w:instrText xml:space="preserve"> PAGEREF _Toc3036 \h </w:instrText>
      </w:r>
      <w:r>
        <w:rPr>
          <w:highlight w:val="none"/>
        </w:rPr>
        <w:fldChar w:fldCharType="separate"/>
      </w:r>
      <w:r>
        <w:rPr>
          <w:highlight w:val="none"/>
        </w:rPr>
        <w:t>28</w:t>
      </w:r>
      <w:r>
        <w:rPr>
          <w:highlight w:val="none"/>
        </w:rPr>
        <w:fldChar w:fldCharType="end"/>
      </w:r>
      <w:r>
        <w:rPr>
          <w:highlight w:val="none"/>
        </w:rPr>
        <w:fldChar w:fldCharType="end"/>
      </w:r>
    </w:p>
    <w:p w14:paraId="2660ABED">
      <w:pPr>
        <w:pStyle w:val="210"/>
        <w:tabs>
          <w:tab w:val="right" w:leader="dot" w:pos="9366"/>
        </w:tabs>
        <w:rPr>
          <w:highlight w:val="none"/>
        </w:rPr>
      </w:pPr>
      <w:r>
        <w:rPr>
          <w:highlight w:val="none"/>
        </w:rPr>
        <w:fldChar w:fldCharType="begin"/>
      </w:r>
      <w:r>
        <w:rPr>
          <w:highlight w:val="none"/>
        </w:rPr>
        <w:instrText xml:space="preserve"> HYPERLINK \l _Toc20256 </w:instrText>
      </w:r>
      <w:r>
        <w:rPr>
          <w:highlight w:val="none"/>
        </w:rPr>
        <w:fldChar w:fldCharType="separate"/>
      </w:r>
      <w:r>
        <w:rPr>
          <w:rFonts w:hint="eastAsia" w:ascii="宋体" w:hAnsi="宋体"/>
          <w:highlight w:val="none"/>
        </w:rPr>
        <w:t>32．质疑</w:t>
      </w:r>
      <w:r>
        <w:rPr>
          <w:highlight w:val="none"/>
        </w:rPr>
        <w:tab/>
      </w:r>
      <w:r>
        <w:rPr>
          <w:highlight w:val="none"/>
        </w:rPr>
        <w:fldChar w:fldCharType="begin"/>
      </w:r>
      <w:r>
        <w:rPr>
          <w:highlight w:val="none"/>
        </w:rPr>
        <w:instrText xml:space="preserve"> PAGEREF _Toc20256 \h </w:instrText>
      </w:r>
      <w:r>
        <w:rPr>
          <w:highlight w:val="none"/>
        </w:rPr>
        <w:fldChar w:fldCharType="separate"/>
      </w:r>
      <w:r>
        <w:rPr>
          <w:highlight w:val="none"/>
        </w:rPr>
        <w:t>28</w:t>
      </w:r>
      <w:r>
        <w:rPr>
          <w:highlight w:val="none"/>
        </w:rPr>
        <w:fldChar w:fldCharType="end"/>
      </w:r>
      <w:r>
        <w:rPr>
          <w:highlight w:val="none"/>
        </w:rPr>
        <w:fldChar w:fldCharType="end"/>
      </w:r>
    </w:p>
    <w:p w14:paraId="5AD051F9">
      <w:pPr>
        <w:pStyle w:val="210"/>
        <w:tabs>
          <w:tab w:val="right" w:leader="dot" w:pos="9366"/>
        </w:tabs>
        <w:rPr>
          <w:highlight w:val="none"/>
        </w:rPr>
      </w:pPr>
      <w:r>
        <w:rPr>
          <w:highlight w:val="none"/>
        </w:rPr>
        <w:fldChar w:fldCharType="begin"/>
      </w:r>
      <w:r>
        <w:rPr>
          <w:highlight w:val="none"/>
        </w:rPr>
        <w:instrText xml:space="preserve"> HYPERLINK \l _Toc11868 </w:instrText>
      </w:r>
      <w:r>
        <w:rPr>
          <w:highlight w:val="none"/>
        </w:rPr>
        <w:fldChar w:fldCharType="separate"/>
      </w:r>
      <w:r>
        <w:rPr>
          <w:rFonts w:hint="eastAsia" w:ascii="宋体" w:hAnsi="宋体"/>
          <w:highlight w:val="none"/>
        </w:rPr>
        <w:t>33．投诉</w:t>
      </w:r>
      <w:r>
        <w:rPr>
          <w:highlight w:val="none"/>
        </w:rPr>
        <w:tab/>
      </w:r>
      <w:r>
        <w:rPr>
          <w:highlight w:val="none"/>
        </w:rPr>
        <w:fldChar w:fldCharType="begin"/>
      </w:r>
      <w:r>
        <w:rPr>
          <w:highlight w:val="none"/>
        </w:rPr>
        <w:instrText xml:space="preserve"> PAGEREF _Toc11868 \h </w:instrText>
      </w:r>
      <w:r>
        <w:rPr>
          <w:highlight w:val="none"/>
        </w:rPr>
        <w:fldChar w:fldCharType="separate"/>
      </w:r>
      <w:r>
        <w:rPr>
          <w:highlight w:val="none"/>
        </w:rPr>
        <w:t>30</w:t>
      </w:r>
      <w:r>
        <w:rPr>
          <w:highlight w:val="none"/>
        </w:rPr>
        <w:fldChar w:fldCharType="end"/>
      </w:r>
      <w:r>
        <w:rPr>
          <w:highlight w:val="none"/>
        </w:rPr>
        <w:fldChar w:fldCharType="end"/>
      </w:r>
    </w:p>
    <w:p w14:paraId="3BA964AE">
      <w:pPr>
        <w:pStyle w:val="229"/>
        <w:tabs>
          <w:tab w:val="right" w:leader="dot" w:pos="9366"/>
        </w:tabs>
        <w:rPr>
          <w:highlight w:val="none"/>
        </w:rPr>
      </w:pPr>
      <w:r>
        <w:rPr>
          <w:highlight w:val="none"/>
        </w:rPr>
        <w:fldChar w:fldCharType="begin"/>
      </w:r>
      <w:r>
        <w:rPr>
          <w:highlight w:val="none"/>
        </w:rPr>
        <w:instrText xml:space="preserve"> HYPERLINK \l _Toc27773 </w:instrText>
      </w:r>
      <w:r>
        <w:rPr>
          <w:highlight w:val="none"/>
        </w:rPr>
        <w:fldChar w:fldCharType="separate"/>
      </w:r>
      <w:r>
        <w:rPr>
          <w:rFonts w:hint="eastAsia" w:ascii="宋体" w:hAnsi="宋体" w:eastAsia="宋体"/>
          <w:highlight w:val="none"/>
        </w:rPr>
        <w:t>八、诚实信用和解释权</w:t>
      </w:r>
      <w:r>
        <w:rPr>
          <w:highlight w:val="none"/>
        </w:rPr>
        <w:tab/>
      </w:r>
      <w:r>
        <w:rPr>
          <w:highlight w:val="none"/>
        </w:rPr>
        <w:fldChar w:fldCharType="begin"/>
      </w:r>
      <w:r>
        <w:rPr>
          <w:highlight w:val="none"/>
        </w:rPr>
        <w:instrText xml:space="preserve"> PAGEREF _Toc27773 \h </w:instrText>
      </w:r>
      <w:r>
        <w:rPr>
          <w:highlight w:val="none"/>
        </w:rPr>
        <w:fldChar w:fldCharType="separate"/>
      </w:r>
      <w:r>
        <w:rPr>
          <w:highlight w:val="none"/>
        </w:rPr>
        <w:t>30</w:t>
      </w:r>
      <w:r>
        <w:rPr>
          <w:highlight w:val="none"/>
        </w:rPr>
        <w:fldChar w:fldCharType="end"/>
      </w:r>
      <w:r>
        <w:rPr>
          <w:highlight w:val="none"/>
        </w:rPr>
        <w:fldChar w:fldCharType="end"/>
      </w:r>
    </w:p>
    <w:p w14:paraId="67664FA4">
      <w:pPr>
        <w:pStyle w:val="210"/>
        <w:tabs>
          <w:tab w:val="right" w:leader="dot" w:pos="9366"/>
        </w:tabs>
        <w:rPr>
          <w:highlight w:val="none"/>
        </w:rPr>
      </w:pPr>
      <w:r>
        <w:rPr>
          <w:highlight w:val="none"/>
        </w:rPr>
        <w:fldChar w:fldCharType="begin"/>
      </w:r>
      <w:r>
        <w:rPr>
          <w:highlight w:val="none"/>
        </w:rPr>
        <w:instrText xml:space="preserve"> HYPERLINK \l _Toc22987 </w:instrText>
      </w:r>
      <w:r>
        <w:rPr>
          <w:highlight w:val="none"/>
        </w:rPr>
        <w:fldChar w:fldCharType="separate"/>
      </w:r>
      <w:r>
        <w:rPr>
          <w:rFonts w:hint="eastAsia" w:ascii="宋体" w:hAnsi="宋体"/>
          <w:highlight w:val="none"/>
        </w:rPr>
        <w:t>34．诚实信用</w:t>
      </w:r>
      <w:r>
        <w:rPr>
          <w:highlight w:val="none"/>
        </w:rPr>
        <w:tab/>
      </w:r>
      <w:r>
        <w:rPr>
          <w:highlight w:val="none"/>
        </w:rPr>
        <w:fldChar w:fldCharType="begin"/>
      </w:r>
      <w:r>
        <w:rPr>
          <w:highlight w:val="none"/>
        </w:rPr>
        <w:instrText xml:space="preserve"> PAGEREF _Toc22987 \h </w:instrText>
      </w:r>
      <w:r>
        <w:rPr>
          <w:highlight w:val="none"/>
        </w:rPr>
        <w:fldChar w:fldCharType="separate"/>
      </w:r>
      <w:r>
        <w:rPr>
          <w:highlight w:val="none"/>
        </w:rPr>
        <w:t>30</w:t>
      </w:r>
      <w:r>
        <w:rPr>
          <w:highlight w:val="none"/>
        </w:rPr>
        <w:fldChar w:fldCharType="end"/>
      </w:r>
      <w:r>
        <w:rPr>
          <w:highlight w:val="none"/>
        </w:rPr>
        <w:fldChar w:fldCharType="end"/>
      </w:r>
    </w:p>
    <w:p w14:paraId="6E4DDFBD">
      <w:pPr>
        <w:pStyle w:val="210"/>
        <w:tabs>
          <w:tab w:val="right" w:leader="dot" w:pos="9366"/>
        </w:tabs>
        <w:rPr>
          <w:highlight w:val="none"/>
        </w:rPr>
      </w:pPr>
      <w:r>
        <w:rPr>
          <w:highlight w:val="none"/>
        </w:rPr>
        <w:fldChar w:fldCharType="begin"/>
      </w:r>
      <w:r>
        <w:rPr>
          <w:highlight w:val="none"/>
        </w:rPr>
        <w:instrText xml:space="preserve"> HYPERLINK \l _Toc10560 </w:instrText>
      </w:r>
      <w:r>
        <w:rPr>
          <w:highlight w:val="none"/>
        </w:rPr>
        <w:fldChar w:fldCharType="separate"/>
      </w:r>
      <w:r>
        <w:rPr>
          <w:rFonts w:hint="eastAsia" w:ascii="宋体" w:hAnsi="宋体"/>
          <w:highlight w:val="none"/>
        </w:rPr>
        <w:t>35．解释权</w:t>
      </w:r>
      <w:r>
        <w:rPr>
          <w:highlight w:val="none"/>
        </w:rPr>
        <w:tab/>
      </w:r>
      <w:r>
        <w:rPr>
          <w:highlight w:val="none"/>
        </w:rPr>
        <w:fldChar w:fldCharType="begin"/>
      </w:r>
      <w:r>
        <w:rPr>
          <w:highlight w:val="none"/>
        </w:rPr>
        <w:instrText xml:space="preserve"> PAGEREF _Toc10560 \h </w:instrText>
      </w:r>
      <w:r>
        <w:rPr>
          <w:highlight w:val="none"/>
        </w:rPr>
        <w:fldChar w:fldCharType="separate"/>
      </w:r>
      <w:r>
        <w:rPr>
          <w:highlight w:val="none"/>
        </w:rPr>
        <w:t>31</w:t>
      </w:r>
      <w:r>
        <w:rPr>
          <w:highlight w:val="none"/>
        </w:rPr>
        <w:fldChar w:fldCharType="end"/>
      </w:r>
      <w:r>
        <w:rPr>
          <w:highlight w:val="none"/>
        </w:rPr>
        <w:fldChar w:fldCharType="end"/>
      </w:r>
    </w:p>
    <w:p w14:paraId="382EE9AC">
      <w:pPr>
        <w:pStyle w:val="210"/>
        <w:tabs>
          <w:tab w:val="right" w:leader="dot" w:pos="9366"/>
        </w:tabs>
        <w:rPr>
          <w:highlight w:val="none"/>
        </w:rPr>
      </w:pPr>
      <w:r>
        <w:rPr>
          <w:highlight w:val="none"/>
        </w:rPr>
        <w:fldChar w:fldCharType="begin"/>
      </w:r>
      <w:r>
        <w:rPr>
          <w:highlight w:val="none"/>
        </w:rPr>
        <w:instrText xml:space="preserve"> HYPERLINK \l _Toc2425 </w:instrText>
      </w:r>
      <w:r>
        <w:rPr>
          <w:highlight w:val="none"/>
        </w:rPr>
        <w:fldChar w:fldCharType="separate"/>
      </w:r>
      <w:r>
        <w:rPr>
          <w:rFonts w:hint="eastAsia" w:ascii="宋体" w:hAnsi="宋体"/>
          <w:highlight w:val="none"/>
        </w:rPr>
        <w:t>36．适用法律及约束力</w:t>
      </w:r>
      <w:r>
        <w:rPr>
          <w:highlight w:val="none"/>
        </w:rPr>
        <w:tab/>
      </w:r>
      <w:r>
        <w:rPr>
          <w:highlight w:val="none"/>
        </w:rPr>
        <w:fldChar w:fldCharType="begin"/>
      </w:r>
      <w:r>
        <w:rPr>
          <w:highlight w:val="none"/>
        </w:rPr>
        <w:instrText xml:space="preserve"> PAGEREF _Toc2425 \h </w:instrText>
      </w:r>
      <w:r>
        <w:rPr>
          <w:highlight w:val="none"/>
        </w:rPr>
        <w:fldChar w:fldCharType="separate"/>
      </w:r>
      <w:r>
        <w:rPr>
          <w:highlight w:val="none"/>
        </w:rPr>
        <w:t>31</w:t>
      </w:r>
      <w:r>
        <w:rPr>
          <w:highlight w:val="none"/>
        </w:rPr>
        <w:fldChar w:fldCharType="end"/>
      </w:r>
      <w:r>
        <w:rPr>
          <w:highlight w:val="none"/>
        </w:rPr>
        <w:fldChar w:fldCharType="end"/>
      </w:r>
    </w:p>
    <w:p w14:paraId="45F0E920">
      <w:pPr>
        <w:pStyle w:val="222"/>
        <w:tabs>
          <w:tab w:val="right" w:leader="dot" w:pos="9366"/>
        </w:tabs>
        <w:rPr>
          <w:highlight w:val="none"/>
        </w:rPr>
      </w:pPr>
      <w:r>
        <w:rPr>
          <w:highlight w:val="none"/>
        </w:rPr>
        <w:fldChar w:fldCharType="begin"/>
      </w:r>
      <w:r>
        <w:rPr>
          <w:highlight w:val="none"/>
        </w:rPr>
        <w:instrText xml:space="preserve"> HYPERLINK \l _Toc32502 </w:instrText>
      </w:r>
      <w:r>
        <w:rPr>
          <w:highlight w:val="none"/>
        </w:rPr>
        <w:fldChar w:fldCharType="separate"/>
      </w:r>
      <w:r>
        <w:rPr>
          <w:rFonts w:hint="eastAsia" w:ascii="宋体" w:hAnsi="宋体"/>
          <w:highlight w:val="none"/>
        </w:rPr>
        <w:t>第三部分  合同</w:t>
      </w:r>
      <w:r>
        <w:rPr>
          <w:highlight w:val="none"/>
        </w:rPr>
        <w:tab/>
      </w:r>
      <w:r>
        <w:rPr>
          <w:highlight w:val="none"/>
        </w:rPr>
        <w:fldChar w:fldCharType="begin"/>
      </w:r>
      <w:r>
        <w:rPr>
          <w:highlight w:val="none"/>
        </w:rPr>
        <w:instrText xml:space="preserve"> PAGEREF _Toc32502 \h </w:instrText>
      </w:r>
      <w:r>
        <w:rPr>
          <w:highlight w:val="none"/>
        </w:rPr>
        <w:fldChar w:fldCharType="separate"/>
      </w:r>
      <w:r>
        <w:rPr>
          <w:highlight w:val="none"/>
        </w:rPr>
        <w:t>31</w:t>
      </w:r>
      <w:r>
        <w:rPr>
          <w:highlight w:val="none"/>
        </w:rPr>
        <w:fldChar w:fldCharType="end"/>
      </w:r>
      <w:r>
        <w:rPr>
          <w:highlight w:val="none"/>
        </w:rPr>
        <w:fldChar w:fldCharType="end"/>
      </w:r>
    </w:p>
    <w:p w14:paraId="49B10444">
      <w:pPr>
        <w:pStyle w:val="222"/>
        <w:tabs>
          <w:tab w:val="right" w:leader="dot" w:pos="9366"/>
        </w:tabs>
        <w:rPr>
          <w:highlight w:val="none"/>
        </w:rPr>
      </w:pPr>
      <w:r>
        <w:rPr>
          <w:highlight w:val="none"/>
        </w:rPr>
        <w:fldChar w:fldCharType="begin"/>
      </w:r>
      <w:r>
        <w:rPr>
          <w:highlight w:val="none"/>
        </w:rPr>
        <w:instrText xml:space="preserve"> HYPERLINK \l _Toc31438 </w:instrText>
      </w:r>
      <w:r>
        <w:rPr>
          <w:highlight w:val="none"/>
        </w:rPr>
        <w:fldChar w:fldCharType="separate"/>
      </w:r>
      <w:r>
        <w:rPr>
          <w:rFonts w:ascii="宋体" w:hAnsi="宋体"/>
          <w:highlight w:val="none"/>
        </w:rPr>
        <w:t>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_Toc31438 \h </w:instrText>
      </w:r>
      <w:r>
        <w:rPr>
          <w:highlight w:val="none"/>
        </w:rPr>
        <w:fldChar w:fldCharType="separate"/>
      </w:r>
      <w:r>
        <w:rPr>
          <w:highlight w:val="none"/>
        </w:rPr>
        <w:t>40</w:t>
      </w:r>
      <w:r>
        <w:rPr>
          <w:highlight w:val="none"/>
        </w:rPr>
        <w:fldChar w:fldCharType="end"/>
      </w:r>
      <w:r>
        <w:rPr>
          <w:highlight w:val="none"/>
        </w:rPr>
        <w:fldChar w:fldCharType="end"/>
      </w:r>
    </w:p>
    <w:p w14:paraId="26166EB7">
      <w:pPr>
        <w:pStyle w:val="222"/>
        <w:tabs>
          <w:tab w:val="right" w:leader="dot" w:pos="9366"/>
        </w:tabs>
        <w:rPr>
          <w:highlight w:val="none"/>
        </w:rPr>
      </w:pPr>
      <w:r>
        <w:rPr>
          <w:highlight w:val="none"/>
        </w:rPr>
        <w:fldChar w:fldCharType="begin"/>
      </w:r>
      <w:r>
        <w:rPr>
          <w:highlight w:val="none"/>
        </w:rPr>
        <w:instrText xml:space="preserve"> HYPERLINK \l _Toc22975 </w:instrText>
      </w:r>
      <w:r>
        <w:rPr>
          <w:highlight w:val="none"/>
        </w:rPr>
        <w:fldChar w:fldCharType="separate"/>
      </w:r>
      <w:r>
        <w:rPr>
          <w:rFonts w:hint="eastAsia" w:ascii="宋体" w:hAnsi="宋体"/>
          <w:highlight w:val="none"/>
        </w:rPr>
        <w:t>第五部分  磋商及评审</w:t>
      </w:r>
      <w:r>
        <w:rPr>
          <w:highlight w:val="none"/>
        </w:rPr>
        <w:tab/>
      </w:r>
      <w:r>
        <w:rPr>
          <w:highlight w:val="none"/>
        </w:rPr>
        <w:fldChar w:fldCharType="begin"/>
      </w:r>
      <w:r>
        <w:rPr>
          <w:highlight w:val="none"/>
        </w:rPr>
        <w:instrText xml:space="preserve"> PAGEREF _Toc22975 \h </w:instrText>
      </w:r>
      <w:r>
        <w:rPr>
          <w:highlight w:val="none"/>
        </w:rPr>
        <w:fldChar w:fldCharType="separate"/>
      </w:r>
      <w:r>
        <w:rPr>
          <w:highlight w:val="none"/>
        </w:rPr>
        <w:t>47</w:t>
      </w:r>
      <w:r>
        <w:rPr>
          <w:highlight w:val="none"/>
        </w:rPr>
        <w:fldChar w:fldCharType="end"/>
      </w:r>
      <w:r>
        <w:rPr>
          <w:highlight w:val="none"/>
        </w:rPr>
        <w:fldChar w:fldCharType="end"/>
      </w:r>
    </w:p>
    <w:p w14:paraId="360A85EF">
      <w:pPr>
        <w:pStyle w:val="229"/>
        <w:tabs>
          <w:tab w:val="right" w:leader="dot" w:pos="9366"/>
        </w:tabs>
        <w:rPr>
          <w:highlight w:val="none"/>
        </w:rPr>
      </w:pPr>
      <w:r>
        <w:rPr>
          <w:highlight w:val="none"/>
        </w:rPr>
        <w:fldChar w:fldCharType="begin"/>
      </w:r>
      <w:r>
        <w:rPr>
          <w:highlight w:val="none"/>
        </w:rPr>
        <w:instrText xml:space="preserve"> HYPERLINK \l _Toc13203 </w:instrText>
      </w:r>
      <w:r>
        <w:rPr>
          <w:highlight w:val="none"/>
        </w:rPr>
        <w:fldChar w:fldCharType="separate"/>
      </w:r>
      <w:r>
        <w:rPr>
          <w:rFonts w:hint="eastAsia" w:ascii="宋体" w:hAnsi="宋体" w:eastAsia="宋体"/>
          <w:highlight w:val="none"/>
        </w:rPr>
        <w:t>1．</w:t>
      </w:r>
      <w:r>
        <w:rPr>
          <w:rFonts w:ascii="宋体" w:hAnsi="宋体" w:eastAsia="宋体"/>
          <w:highlight w:val="none"/>
        </w:rPr>
        <w:t>磋商小组职责</w:t>
      </w:r>
      <w:r>
        <w:rPr>
          <w:highlight w:val="none"/>
        </w:rPr>
        <w:tab/>
      </w:r>
      <w:r>
        <w:rPr>
          <w:highlight w:val="none"/>
        </w:rPr>
        <w:fldChar w:fldCharType="begin"/>
      </w:r>
      <w:r>
        <w:rPr>
          <w:highlight w:val="none"/>
        </w:rPr>
        <w:instrText xml:space="preserve"> PAGEREF _Toc13203 \h </w:instrText>
      </w:r>
      <w:r>
        <w:rPr>
          <w:highlight w:val="none"/>
        </w:rPr>
        <w:fldChar w:fldCharType="separate"/>
      </w:r>
      <w:r>
        <w:rPr>
          <w:highlight w:val="none"/>
        </w:rPr>
        <w:t>47</w:t>
      </w:r>
      <w:r>
        <w:rPr>
          <w:highlight w:val="none"/>
        </w:rPr>
        <w:fldChar w:fldCharType="end"/>
      </w:r>
      <w:r>
        <w:rPr>
          <w:highlight w:val="none"/>
        </w:rPr>
        <w:fldChar w:fldCharType="end"/>
      </w:r>
    </w:p>
    <w:p w14:paraId="23D520F9">
      <w:pPr>
        <w:pStyle w:val="229"/>
        <w:tabs>
          <w:tab w:val="right" w:leader="dot" w:pos="9366"/>
        </w:tabs>
        <w:rPr>
          <w:highlight w:val="none"/>
        </w:rPr>
      </w:pPr>
      <w:r>
        <w:rPr>
          <w:highlight w:val="none"/>
        </w:rPr>
        <w:fldChar w:fldCharType="begin"/>
      </w:r>
      <w:r>
        <w:rPr>
          <w:highlight w:val="none"/>
        </w:rPr>
        <w:instrText xml:space="preserve"> HYPERLINK \l _Toc11086 </w:instrText>
      </w:r>
      <w:r>
        <w:rPr>
          <w:highlight w:val="none"/>
        </w:rPr>
        <w:fldChar w:fldCharType="separate"/>
      </w:r>
      <w:r>
        <w:rPr>
          <w:rFonts w:hint="eastAsia" w:ascii="宋体" w:hAnsi="宋体" w:eastAsia="宋体"/>
          <w:highlight w:val="none"/>
        </w:rPr>
        <w:t>2．磋商及评审程序</w:t>
      </w:r>
      <w:r>
        <w:rPr>
          <w:highlight w:val="none"/>
        </w:rPr>
        <w:tab/>
      </w:r>
      <w:r>
        <w:rPr>
          <w:highlight w:val="none"/>
        </w:rPr>
        <w:fldChar w:fldCharType="begin"/>
      </w:r>
      <w:r>
        <w:rPr>
          <w:highlight w:val="none"/>
        </w:rPr>
        <w:instrText xml:space="preserve"> PAGEREF _Toc11086 \h </w:instrText>
      </w:r>
      <w:r>
        <w:rPr>
          <w:highlight w:val="none"/>
        </w:rPr>
        <w:fldChar w:fldCharType="separate"/>
      </w:r>
      <w:r>
        <w:rPr>
          <w:highlight w:val="none"/>
        </w:rPr>
        <w:t>47</w:t>
      </w:r>
      <w:r>
        <w:rPr>
          <w:highlight w:val="none"/>
        </w:rPr>
        <w:fldChar w:fldCharType="end"/>
      </w:r>
      <w:r>
        <w:rPr>
          <w:highlight w:val="none"/>
        </w:rPr>
        <w:fldChar w:fldCharType="end"/>
      </w:r>
    </w:p>
    <w:p w14:paraId="2CE1FAF3">
      <w:pPr>
        <w:pStyle w:val="229"/>
        <w:tabs>
          <w:tab w:val="right" w:leader="dot" w:pos="9366"/>
        </w:tabs>
        <w:rPr>
          <w:highlight w:val="none"/>
        </w:rPr>
      </w:pPr>
      <w:r>
        <w:rPr>
          <w:highlight w:val="none"/>
        </w:rPr>
        <w:fldChar w:fldCharType="begin"/>
      </w:r>
      <w:r>
        <w:rPr>
          <w:highlight w:val="none"/>
        </w:rPr>
        <w:instrText xml:space="preserve"> HYPERLINK \l _Toc14570 </w:instrText>
      </w:r>
      <w:r>
        <w:rPr>
          <w:highlight w:val="none"/>
        </w:rPr>
        <w:fldChar w:fldCharType="separate"/>
      </w:r>
      <w:r>
        <w:rPr>
          <w:rFonts w:hint="eastAsia" w:ascii="宋体" w:hAnsi="宋体" w:eastAsia="宋体"/>
          <w:highlight w:val="none"/>
        </w:rPr>
        <w:t>3．供应商资格审查</w:t>
      </w:r>
      <w:r>
        <w:rPr>
          <w:highlight w:val="none"/>
        </w:rPr>
        <w:tab/>
      </w:r>
      <w:r>
        <w:rPr>
          <w:highlight w:val="none"/>
        </w:rPr>
        <w:fldChar w:fldCharType="begin"/>
      </w:r>
      <w:r>
        <w:rPr>
          <w:highlight w:val="none"/>
        </w:rPr>
        <w:instrText xml:space="preserve"> PAGEREF _Toc14570 \h </w:instrText>
      </w:r>
      <w:r>
        <w:rPr>
          <w:highlight w:val="none"/>
        </w:rPr>
        <w:fldChar w:fldCharType="separate"/>
      </w:r>
      <w:r>
        <w:rPr>
          <w:highlight w:val="none"/>
        </w:rPr>
        <w:t>49</w:t>
      </w:r>
      <w:r>
        <w:rPr>
          <w:highlight w:val="none"/>
        </w:rPr>
        <w:fldChar w:fldCharType="end"/>
      </w:r>
      <w:r>
        <w:rPr>
          <w:highlight w:val="none"/>
        </w:rPr>
        <w:fldChar w:fldCharType="end"/>
      </w:r>
    </w:p>
    <w:p w14:paraId="501004C6">
      <w:pPr>
        <w:pStyle w:val="229"/>
        <w:tabs>
          <w:tab w:val="right" w:leader="dot" w:pos="9366"/>
        </w:tabs>
        <w:rPr>
          <w:highlight w:val="none"/>
        </w:rPr>
      </w:pPr>
      <w:r>
        <w:rPr>
          <w:highlight w:val="none"/>
        </w:rPr>
        <w:fldChar w:fldCharType="begin"/>
      </w:r>
      <w:r>
        <w:rPr>
          <w:highlight w:val="none"/>
        </w:rPr>
        <w:instrText xml:space="preserve"> HYPERLINK \l _Toc25696 </w:instrText>
      </w:r>
      <w:r>
        <w:rPr>
          <w:highlight w:val="none"/>
        </w:rPr>
        <w:fldChar w:fldCharType="separate"/>
      </w:r>
      <w:r>
        <w:rPr>
          <w:rFonts w:hint="eastAsia" w:ascii="宋体" w:hAnsi="宋体" w:eastAsia="宋体"/>
          <w:highlight w:val="none"/>
        </w:rPr>
        <w:t>4．磋商响应文件的有效性、完整性和响应程度审查</w:t>
      </w:r>
      <w:r>
        <w:rPr>
          <w:highlight w:val="none"/>
        </w:rPr>
        <w:tab/>
      </w:r>
      <w:r>
        <w:rPr>
          <w:highlight w:val="none"/>
        </w:rPr>
        <w:fldChar w:fldCharType="begin"/>
      </w:r>
      <w:r>
        <w:rPr>
          <w:highlight w:val="none"/>
        </w:rPr>
        <w:instrText xml:space="preserve"> PAGEREF _Toc25696 \h </w:instrText>
      </w:r>
      <w:r>
        <w:rPr>
          <w:highlight w:val="none"/>
        </w:rPr>
        <w:fldChar w:fldCharType="separate"/>
      </w:r>
      <w:r>
        <w:rPr>
          <w:highlight w:val="none"/>
        </w:rPr>
        <w:t>50</w:t>
      </w:r>
      <w:r>
        <w:rPr>
          <w:highlight w:val="none"/>
        </w:rPr>
        <w:fldChar w:fldCharType="end"/>
      </w:r>
      <w:r>
        <w:rPr>
          <w:highlight w:val="none"/>
        </w:rPr>
        <w:fldChar w:fldCharType="end"/>
      </w:r>
    </w:p>
    <w:p w14:paraId="1A5E8EE2">
      <w:pPr>
        <w:pStyle w:val="229"/>
        <w:tabs>
          <w:tab w:val="right" w:leader="dot" w:pos="9366"/>
        </w:tabs>
        <w:rPr>
          <w:highlight w:val="none"/>
        </w:rPr>
      </w:pPr>
      <w:r>
        <w:rPr>
          <w:highlight w:val="none"/>
        </w:rPr>
        <w:fldChar w:fldCharType="begin"/>
      </w:r>
      <w:r>
        <w:rPr>
          <w:highlight w:val="none"/>
        </w:rPr>
        <w:instrText xml:space="preserve"> HYPERLINK \l _Toc3345 </w:instrText>
      </w:r>
      <w:r>
        <w:rPr>
          <w:highlight w:val="none"/>
        </w:rPr>
        <w:fldChar w:fldCharType="separate"/>
      </w:r>
      <w:r>
        <w:rPr>
          <w:rFonts w:hint="eastAsia" w:ascii="宋体" w:hAnsi="宋体" w:eastAsia="宋体"/>
          <w:highlight w:val="none"/>
        </w:rPr>
        <w:t>5．磋商记录</w:t>
      </w:r>
      <w:r>
        <w:rPr>
          <w:highlight w:val="none"/>
        </w:rPr>
        <w:tab/>
      </w:r>
      <w:r>
        <w:rPr>
          <w:highlight w:val="none"/>
        </w:rPr>
        <w:fldChar w:fldCharType="begin"/>
      </w:r>
      <w:r>
        <w:rPr>
          <w:highlight w:val="none"/>
        </w:rPr>
        <w:instrText xml:space="preserve"> PAGEREF _Toc3345 \h </w:instrText>
      </w:r>
      <w:r>
        <w:rPr>
          <w:highlight w:val="none"/>
        </w:rPr>
        <w:fldChar w:fldCharType="separate"/>
      </w:r>
      <w:r>
        <w:rPr>
          <w:highlight w:val="none"/>
        </w:rPr>
        <w:t>51</w:t>
      </w:r>
      <w:r>
        <w:rPr>
          <w:highlight w:val="none"/>
        </w:rPr>
        <w:fldChar w:fldCharType="end"/>
      </w:r>
      <w:r>
        <w:rPr>
          <w:highlight w:val="none"/>
        </w:rPr>
        <w:fldChar w:fldCharType="end"/>
      </w:r>
    </w:p>
    <w:p w14:paraId="421453F0">
      <w:pPr>
        <w:pStyle w:val="229"/>
        <w:tabs>
          <w:tab w:val="right" w:leader="dot" w:pos="9366"/>
        </w:tabs>
        <w:rPr>
          <w:highlight w:val="none"/>
        </w:rPr>
      </w:pPr>
      <w:r>
        <w:rPr>
          <w:highlight w:val="none"/>
        </w:rPr>
        <w:fldChar w:fldCharType="begin"/>
      </w:r>
      <w:r>
        <w:rPr>
          <w:highlight w:val="none"/>
        </w:rPr>
        <w:instrText xml:space="preserve"> HYPERLINK \l _Toc23024 </w:instrText>
      </w:r>
      <w:r>
        <w:rPr>
          <w:highlight w:val="none"/>
        </w:rPr>
        <w:fldChar w:fldCharType="separate"/>
      </w:r>
      <w:r>
        <w:rPr>
          <w:rFonts w:hint="eastAsia" w:ascii="宋体" w:hAnsi="宋体" w:eastAsia="宋体"/>
          <w:highlight w:val="none"/>
        </w:rPr>
        <w:t>6．综合评分</w:t>
      </w:r>
      <w:r>
        <w:rPr>
          <w:highlight w:val="none"/>
        </w:rPr>
        <w:tab/>
      </w:r>
      <w:r>
        <w:rPr>
          <w:highlight w:val="none"/>
        </w:rPr>
        <w:fldChar w:fldCharType="begin"/>
      </w:r>
      <w:r>
        <w:rPr>
          <w:highlight w:val="none"/>
        </w:rPr>
        <w:instrText xml:space="preserve"> PAGEREF _Toc23024 \h </w:instrText>
      </w:r>
      <w:r>
        <w:rPr>
          <w:highlight w:val="none"/>
        </w:rPr>
        <w:fldChar w:fldCharType="separate"/>
      </w:r>
      <w:r>
        <w:rPr>
          <w:highlight w:val="none"/>
        </w:rPr>
        <w:t>51</w:t>
      </w:r>
      <w:r>
        <w:rPr>
          <w:highlight w:val="none"/>
        </w:rPr>
        <w:fldChar w:fldCharType="end"/>
      </w:r>
      <w:r>
        <w:rPr>
          <w:highlight w:val="none"/>
        </w:rPr>
        <w:fldChar w:fldCharType="end"/>
      </w:r>
    </w:p>
    <w:p w14:paraId="1240D110">
      <w:pPr>
        <w:pStyle w:val="229"/>
        <w:tabs>
          <w:tab w:val="right" w:leader="dot" w:pos="9366"/>
        </w:tabs>
        <w:rPr>
          <w:highlight w:val="none"/>
        </w:rPr>
      </w:pPr>
      <w:r>
        <w:rPr>
          <w:highlight w:val="none"/>
        </w:rPr>
        <w:fldChar w:fldCharType="begin"/>
      </w:r>
      <w:r>
        <w:rPr>
          <w:highlight w:val="none"/>
        </w:rPr>
        <w:instrText xml:space="preserve"> HYPERLINK \l _Toc1515 </w:instrText>
      </w:r>
      <w:r>
        <w:rPr>
          <w:highlight w:val="none"/>
        </w:rPr>
        <w:fldChar w:fldCharType="separate"/>
      </w:r>
      <w:r>
        <w:rPr>
          <w:rFonts w:hint="eastAsia" w:ascii="宋体" w:hAnsi="宋体" w:eastAsia="宋体"/>
          <w:highlight w:val="none"/>
        </w:rPr>
        <w:t>7．推荐成交供应商</w:t>
      </w:r>
      <w:r>
        <w:rPr>
          <w:highlight w:val="none"/>
        </w:rPr>
        <w:tab/>
      </w:r>
      <w:r>
        <w:rPr>
          <w:highlight w:val="none"/>
        </w:rPr>
        <w:fldChar w:fldCharType="begin"/>
      </w:r>
      <w:r>
        <w:rPr>
          <w:highlight w:val="none"/>
        </w:rPr>
        <w:instrText xml:space="preserve"> PAGEREF _Toc1515 \h </w:instrText>
      </w:r>
      <w:r>
        <w:rPr>
          <w:highlight w:val="none"/>
        </w:rPr>
        <w:fldChar w:fldCharType="separate"/>
      </w:r>
      <w:r>
        <w:rPr>
          <w:highlight w:val="none"/>
        </w:rPr>
        <w:t>51</w:t>
      </w:r>
      <w:r>
        <w:rPr>
          <w:highlight w:val="none"/>
        </w:rPr>
        <w:fldChar w:fldCharType="end"/>
      </w:r>
      <w:r>
        <w:rPr>
          <w:highlight w:val="none"/>
        </w:rPr>
        <w:fldChar w:fldCharType="end"/>
      </w:r>
    </w:p>
    <w:p w14:paraId="53DB808A">
      <w:pPr>
        <w:pStyle w:val="222"/>
        <w:tabs>
          <w:tab w:val="right" w:leader="dot" w:pos="9366"/>
        </w:tabs>
        <w:rPr>
          <w:rFonts w:hAnsi="Times New Roman" w:eastAsia="宋体" w:cs="Times New Roman"/>
          <w:b/>
          <w:bCs/>
          <w:caps/>
          <w:highlight w:val="none"/>
        </w:rPr>
      </w:pPr>
      <w:r>
        <w:rPr>
          <w:rFonts w:hAnsi="Times New Roman" w:eastAsia="宋体" w:cs="Times New Roman"/>
          <w:b/>
          <w:bCs/>
          <w:caps/>
          <w:highlight w:val="none"/>
        </w:rPr>
        <w:fldChar w:fldCharType="begin"/>
      </w:r>
      <w:r>
        <w:rPr>
          <w:rFonts w:hAnsi="Times New Roman" w:eastAsia="宋体" w:cs="Times New Roman"/>
          <w:b/>
          <w:bCs/>
          <w:caps/>
          <w:highlight w:val="none"/>
        </w:rPr>
        <w:instrText xml:space="preserve"> HYPERLINK \l _Toc21477 </w:instrText>
      </w:r>
      <w:r>
        <w:rPr>
          <w:rFonts w:hAnsi="Times New Roman" w:eastAsia="宋体" w:cs="Times New Roman"/>
          <w:b/>
          <w:bCs/>
          <w:caps/>
          <w:highlight w:val="none"/>
        </w:rPr>
        <w:fldChar w:fldCharType="separate"/>
      </w:r>
      <w:r>
        <w:rPr>
          <w:rFonts w:hint="eastAsia" w:hAnsi="Times New Roman" w:eastAsia="宋体" w:cs="Times New Roman"/>
          <w:b/>
          <w:bCs/>
          <w:caps/>
          <w:highlight w:val="none"/>
        </w:rPr>
        <w:t>第六部分  磋商响应文件（格式）</w:t>
      </w:r>
      <w:r>
        <w:rPr>
          <w:rFonts w:hAnsi="Times New Roman" w:eastAsia="宋体" w:cs="Times New Roman"/>
          <w:b/>
          <w:bCs/>
          <w:caps/>
          <w:highlight w:val="none"/>
        </w:rPr>
        <w:tab/>
      </w:r>
      <w:r>
        <w:rPr>
          <w:rFonts w:hAnsi="Times New Roman" w:eastAsia="宋体" w:cs="Times New Roman"/>
          <w:b/>
          <w:bCs/>
          <w:caps/>
          <w:highlight w:val="none"/>
        </w:rPr>
        <w:fldChar w:fldCharType="begin"/>
      </w:r>
      <w:r>
        <w:rPr>
          <w:rFonts w:hAnsi="Times New Roman" w:eastAsia="宋体" w:cs="Times New Roman"/>
          <w:b/>
          <w:bCs/>
          <w:caps/>
          <w:highlight w:val="none"/>
        </w:rPr>
        <w:instrText xml:space="preserve"> PAGEREF _Toc21477 \h </w:instrText>
      </w:r>
      <w:r>
        <w:rPr>
          <w:rFonts w:hAnsi="Times New Roman" w:eastAsia="宋体" w:cs="Times New Roman"/>
          <w:b/>
          <w:bCs/>
          <w:caps/>
          <w:highlight w:val="none"/>
        </w:rPr>
        <w:fldChar w:fldCharType="separate"/>
      </w:r>
      <w:r>
        <w:rPr>
          <w:rFonts w:hAnsi="Times New Roman" w:eastAsia="宋体" w:cs="Times New Roman"/>
          <w:b/>
          <w:bCs/>
          <w:caps/>
          <w:highlight w:val="none"/>
        </w:rPr>
        <w:t>56</w:t>
      </w:r>
      <w:r>
        <w:rPr>
          <w:rFonts w:hAnsi="Times New Roman" w:eastAsia="宋体" w:cs="Times New Roman"/>
          <w:b/>
          <w:bCs/>
          <w:caps/>
          <w:highlight w:val="none"/>
        </w:rPr>
        <w:fldChar w:fldCharType="end"/>
      </w:r>
      <w:r>
        <w:rPr>
          <w:rFonts w:hAnsi="Times New Roman" w:eastAsia="宋体" w:cs="Times New Roman"/>
          <w:b/>
          <w:bCs/>
          <w:caps/>
          <w:highlight w:val="none"/>
        </w:rPr>
        <w:fldChar w:fldCharType="end"/>
      </w:r>
    </w:p>
    <w:p w14:paraId="2DA256C1">
      <w:pPr>
        <w:pStyle w:val="229"/>
        <w:tabs>
          <w:tab w:val="right" w:leader="dot" w:pos="9366"/>
        </w:tabs>
        <w:rPr>
          <w:highlight w:val="none"/>
        </w:rPr>
      </w:pPr>
      <w:r>
        <w:rPr>
          <w:highlight w:val="none"/>
        </w:rPr>
        <w:fldChar w:fldCharType="begin"/>
      </w:r>
      <w:r>
        <w:rPr>
          <w:highlight w:val="none"/>
        </w:rPr>
        <w:instrText xml:space="preserve"> HYPERLINK \l _Toc5922 </w:instrText>
      </w:r>
      <w:r>
        <w:rPr>
          <w:highlight w:val="none"/>
        </w:rPr>
        <w:fldChar w:fldCharType="separate"/>
      </w:r>
      <w:r>
        <w:rPr>
          <w:rFonts w:ascii="宋体" w:hAnsi="宋体" w:eastAsia="宋体" w:cs="宋体"/>
          <w:highlight w:val="none"/>
        </w:rPr>
        <w:t>一、资格部分</w:t>
      </w:r>
      <w:r>
        <w:rPr>
          <w:highlight w:val="none"/>
        </w:rPr>
        <w:tab/>
      </w:r>
      <w:r>
        <w:rPr>
          <w:highlight w:val="none"/>
        </w:rPr>
        <w:fldChar w:fldCharType="begin"/>
      </w:r>
      <w:r>
        <w:rPr>
          <w:highlight w:val="none"/>
        </w:rPr>
        <w:instrText xml:space="preserve"> PAGEREF _Toc5922 \h </w:instrText>
      </w:r>
      <w:r>
        <w:rPr>
          <w:highlight w:val="none"/>
        </w:rPr>
        <w:fldChar w:fldCharType="separate"/>
      </w:r>
      <w:r>
        <w:rPr>
          <w:highlight w:val="none"/>
        </w:rPr>
        <w:t>57</w:t>
      </w:r>
      <w:r>
        <w:rPr>
          <w:highlight w:val="none"/>
        </w:rPr>
        <w:fldChar w:fldCharType="end"/>
      </w:r>
      <w:r>
        <w:rPr>
          <w:highlight w:val="none"/>
        </w:rPr>
        <w:fldChar w:fldCharType="end"/>
      </w:r>
    </w:p>
    <w:p w14:paraId="7BAFA03F">
      <w:pPr>
        <w:pStyle w:val="210"/>
        <w:tabs>
          <w:tab w:val="right" w:leader="dot" w:pos="9366"/>
        </w:tabs>
        <w:rPr>
          <w:highlight w:val="none"/>
        </w:rPr>
      </w:pPr>
      <w:r>
        <w:rPr>
          <w:highlight w:val="none"/>
        </w:rPr>
        <w:fldChar w:fldCharType="begin"/>
      </w:r>
      <w:r>
        <w:rPr>
          <w:highlight w:val="none"/>
        </w:rPr>
        <w:instrText xml:space="preserve"> HYPERLINK \l _Toc7448 </w:instrText>
      </w:r>
      <w:r>
        <w:rPr>
          <w:highlight w:val="none"/>
        </w:rPr>
        <w:fldChar w:fldCharType="separate"/>
      </w:r>
      <w:r>
        <w:rPr>
          <w:rFonts w:ascii="宋体" w:hAnsi="宋体" w:eastAsia="宋体" w:cs="宋体"/>
          <w:highlight w:val="none"/>
        </w:rPr>
        <w:t>(一)磋商承诺函</w:t>
      </w:r>
      <w:r>
        <w:rPr>
          <w:highlight w:val="none"/>
        </w:rPr>
        <w:tab/>
      </w:r>
      <w:r>
        <w:rPr>
          <w:highlight w:val="none"/>
        </w:rPr>
        <w:fldChar w:fldCharType="begin"/>
      </w:r>
      <w:r>
        <w:rPr>
          <w:highlight w:val="none"/>
        </w:rPr>
        <w:instrText xml:space="preserve"> PAGEREF _Toc7448 \h </w:instrText>
      </w:r>
      <w:r>
        <w:rPr>
          <w:highlight w:val="none"/>
        </w:rPr>
        <w:fldChar w:fldCharType="separate"/>
      </w:r>
      <w:r>
        <w:rPr>
          <w:highlight w:val="none"/>
        </w:rPr>
        <w:t>58</w:t>
      </w:r>
      <w:r>
        <w:rPr>
          <w:highlight w:val="none"/>
        </w:rPr>
        <w:fldChar w:fldCharType="end"/>
      </w:r>
      <w:r>
        <w:rPr>
          <w:highlight w:val="none"/>
        </w:rPr>
        <w:fldChar w:fldCharType="end"/>
      </w:r>
    </w:p>
    <w:p w14:paraId="0821D020">
      <w:pPr>
        <w:pStyle w:val="210"/>
        <w:tabs>
          <w:tab w:val="right" w:leader="dot" w:pos="9366"/>
        </w:tabs>
        <w:rPr>
          <w:highlight w:val="none"/>
        </w:rPr>
      </w:pPr>
      <w:r>
        <w:rPr>
          <w:highlight w:val="none"/>
        </w:rPr>
        <w:fldChar w:fldCharType="begin"/>
      </w:r>
      <w:r>
        <w:rPr>
          <w:highlight w:val="none"/>
        </w:rPr>
        <w:instrText xml:space="preserve"> HYPERLINK \l _Toc22180 </w:instrText>
      </w:r>
      <w:r>
        <w:rPr>
          <w:highlight w:val="none"/>
        </w:rPr>
        <w:fldChar w:fldCharType="separate"/>
      </w:r>
      <w:r>
        <w:rPr>
          <w:rFonts w:ascii="宋体" w:hAnsi="宋体" w:eastAsia="宋体" w:cs="宋体"/>
          <w:highlight w:val="none"/>
        </w:rPr>
        <w:t>(二)独立承担民事责任的能力</w:t>
      </w:r>
      <w:r>
        <w:rPr>
          <w:highlight w:val="none"/>
        </w:rPr>
        <w:tab/>
      </w:r>
      <w:r>
        <w:rPr>
          <w:highlight w:val="none"/>
        </w:rPr>
        <w:fldChar w:fldCharType="begin"/>
      </w:r>
      <w:r>
        <w:rPr>
          <w:highlight w:val="none"/>
        </w:rPr>
        <w:instrText xml:space="preserve"> PAGEREF _Toc22180 \h </w:instrText>
      </w:r>
      <w:r>
        <w:rPr>
          <w:highlight w:val="none"/>
        </w:rPr>
        <w:fldChar w:fldCharType="separate"/>
      </w:r>
      <w:r>
        <w:rPr>
          <w:highlight w:val="none"/>
        </w:rPr>
        <w:t>60</w:t>
      </w:r>
      <w:r>
        <w:rPr>
          <w:highlight w:val="none"/>
        </w:rPr>
        <w:fldChar w:fldCharType="end"/>
      </w:r>
      <w:r>
        <w:rPr>
          <w:highlight w:val="none"/>
        </w:rPr>
        <w:fldChar w:fldCharType="end"/>
      </w:r>
    </w:p>
    <w:p w14:paraId="7CAAB94A">
      <w:pPr>
        <w:pStyle w:val="210"/>
        <w:tabs>
          <w:tab w:val="right" w:leader="dot" w:pos="9366"/>
        </w:tabs>
        <w:rPr>
          <w:highlight w:val="none"/>
        </w:rPr>
      </w:pPr>
      <w:r>
        <w:rPr>
          <w:highlight w:val="none"/>
        </w:rPr>
        <w:fldChar w:fldCharType="begin"/>
      </w:r>
      <w:r>
        <w:rPr>
          <w:highlight w:val="none"/>
        </w:rPr>
        <w:instrText xml:space="preserve"> HYPERLINK \l _Toc22633 </w:instrText>
      </w:r>
      <w:r>
        <w:rPr>
          <w:highlight w:val="none"/>
        </w:rPr>
        <w:fldChar w:fldCharType="separate"/>
      </w:r>
      <w:r>
        <w:rPr>
          <w:rFonts w:ascii="宋体" w:hAnsi="宋体" w:eastAsia="宋体" w:cs="宋体"/>
          <w:highlight w:val="none"/>
        </w:rPr>
        <w:t>(三)良好的商业信誉和健全的财务会计制度</w:t>
      </w:r>
      <w:r>
        <w:rPr>
          <w:highlight w:val="none"/>
        </w:rPr>
        <w:tab/>
      </w:r>
      <w:r>
        <w:rPr>
          <w:highlight w:val="none"/>
        </w:rPr>
        <w:fldChar w:fldCharType="begin"/>
      </w:r>
      <w:r>
        <w:rPr>
          <w:highlight w:val="none"/>
        </w:rPr>
        <w:instrText xml:space="preserve"> PAGEREF _Toc22633 \h </w:instrText>
      </w:r>
      <w:r>
        <w:rPr>
          <w:highlight w:val="none"/>
        </w:rPr>
        <w:fldChar w:fldCharType="separate"/>
      </w:r>
      <w:r>
        <w:rPr>
          <w:highlight w:val="none"/>
        </w:rPr>
        <w:t>61</w:t>
      </w:r>
      <w:r>
        <w:rPr>
          <w:highlight w:val="none"/>
        </w:rPr>
        <w:fldChar w:fldCharType="end"/>
      </w:r>
      <w:r>
        <w:rPr>
          <w:highlight w:val="none"/>
        </w:rPr>
        <w:fldChar w:fldCharType="end"/>
      </w:r>
    </w:p>
    <w:p w14:paraId="4C3E6A1A">
      <w:pPr>
        <w:pStyle w:val="210"/>
        <w:tabs>
          <w:tab w:val="right" w:leader="dot" w:pos="9366"/>
        </w:tabs>
        <w:rPr>
          <w:highlight w:val="none"/>
        </w:rPr>
      </w:pPr>
      <w:r>
        <w:rPr>
          <w:highlight w:val="none"/>
        </w:rPr>
        <w:fldChar w:fldCharType="begin"/>
      </w:r>
      <w:r>
        <w:rPr>
          <w:highlight w:val="none"/>
        </w:rPr>
        <w:instrText xml:space="preserve"> HYPERLINK \l _Toc21963 </w:instrText>
      </w:r>
      <w:r>
        <w:rPr>
          <w:highlight w:val="none"/>
        </w:rPr>
        <w:fldChar w:fldCharType="separate"/>
      </w:r>
      <w:r>
        <w:rPr>
          <w:rFonts w:ascii="宋体" w:hAnsi="宋体" w:eastAsia="宋体" w:cs="宋体"/>
          <w:highlight w:val="none"/>
        </w:rPr>
        <w:t>(四)履行合同所必需的设备和专业技术能力</w:t>
      </w:r>
      <w:r>
        <w:rPr>
          <w:highlight w:val="none"/>
        </w:rPr>
        <w:tab/>
      </w:r>
      <w:r>
        <w:rPr>
          <w:highlight w:val="none"/>
        </w:rPr>
        <w:fldChar w:fldCharType="begin"/>
      </w:r>
      <w:r>
        <w:rPr>
          <w:highlight w:val="none"/>
        </w:rPr>
        <w:instrText xml:space="preserve"> PAGEREF _Toc21963 \h </w:instrText>
      </w:r>
      <w:r>
        <w:rPr>
          <w:highlight w:val="none"/>
        </w:rPr>
        <w:fldChar w:fldCharType="separate"/>
      </w:r>
      <w:r>
        <w:rPr>
          <w:highlight w:val="none"/>
        </w:rPr>
        <w:t>62</w:t>
      </w:r>
      <w:r>
        <w:rPr>
          <w:highlight w:val="none"/>
        </w:rPr>
        <w:fldChar w:fldCharType="end"/>
      </w:r>
      <w:r>
        <w:rPr>
          <w:highlight w:val="none"/>
        </w:rPr>
        <w:fldChar w:fldCharType="end"/>
      </w:r>
    </w:p>
    <w:p w14:paraId="1A0EAC8C">
      <w:pPr>
        <w:pStyle w:val="210"/>
        <w:tabs>
          <w:tab w:val="right" w:leader="dot" w:pos="9366"/>
        </w:tabs>
        <w:rPr>
          <w:highlight w:val="none"/>
        </w:rPr>
      </w:pPr>
      <w:r>
        <w:rPr>
          <w:highlight w:val="none"/>
        </w:rPr>
        <w:fldChar w:fldCharType="begin"/>
      </w:r>
      <w:r>
        <w:rPr>
          <w:highlight w:val="none"/>
        </w:rPr>
        <w:instrText xml:space="preserve"> HYPERLINK \l _Toc27588 </w:instrText>
      </w:r>
      <w:r>
        <w:rPr>
          <w:highlight w:val="none"/>
        </w:rPr>
        <w:fldChar w:fldCharType="separate"/>
      </w:r>
      <w:r>
        <w:rPr>
          <w:rFonts w:ascii="宋体" w:hAnsi="宋体" w:eastAsia="宋体" w:cs="宋体"/>
          <w:highlight w:val="none"/>
        </w:rPr>
        <w:t>(五)依法缴纳税收和社会保障资金的良好记录</w:t>
      </w:r>
      <w:r>
        <w:rPr>
          <w:highlight w:val="none"/>
        </w:rPr>
        <w:tab/>
      </w:r>
      <w:r>
        <w:rPr>
          <w:highlight w:val="none"/>
        </w:rPr>
        <w:fldChar w:fldCharType="begin"/>
      </w:r>
      <w:r>
        <w:rPr>
          <w:highlight w:val="none"/>
        </w:rPr>
        <w:instrText xml:space="preserve"> PAGEREF _Toc27588 \h </w:instrText>
      </w:r>
      <w:r>
        <w:rPr>
          <w:highlight w:val="none"/>
        </w:rPr>
        <w:fldChar w:fldCharType="separate"/>
      </w:r>
      <w:r>
        <w:rPr>
          <w:highlight w:val="none"/>
        </w:rPr>
        <w:t>64</w:t>
      </w:r>
      <w:r>
        <w:rPr>
          <w:highlight w:val="none"/>
        </w:rPr>
        <w:fldChar w:fldCharType="end"/>
      </w:r>
      <w:r>
        <w:rPr>
          <w:highlight w:val="none"/>
        </w:rPr>
        <w:fldChar w:fldCharType="end"/>
      </w:r>
    </w:p>
    <w:p w14:paraId="74FB4D71">
      <w:pPr>
        <w:pStyle w:val="210"/>
        <w:tabs>
          <w:tab w:val="right" w:leader="dot" w:pos="9366"/>
        </w:tabs>
        <w:rPr>
          <w:highlight w:val="none"/>
        </w:rPr>
      </w:pPr>
      <w:r>
        <w:rPr>
          <w:highlight w:val="none"/>
        </w:rPr>
        <w:fldChar w:fldCharType="begin"/>
      </w:r>
      <w:r>
        <w:rPr>
          <w:highlight w:val="none"/>
        </w:rPr>
        <w:instrText xml:space="preserve"> HYPERLINK \l _Toc31975 </w:instrText>
      </w:r>
      <w:r>
        <w:rPr>
          <w:highlight w:val="none"/>
        </w:rPr>
        <w:fldChar w:fldCharType="separate"/>
      </w:r>
      <w:r>
        <w:rPr>
          <w:rFonts w:ascii="宋体" w:hAnsi="宋体" w:eastAsia="宋体" w:cs="宋体"/>
          <w:highlight w:val="none"/>
        </w:rPr>
        <w:t>(六)法律、行政法规规定的其他条件</w:t>
      </w:r>
      <w:r>
        <w:rPr>
          <w:highlight w:val="none"/>
        </w:rPr>
        <w:tab/>
      </w:r>
      <w:r>
        <w:rPr>
          <w:highlight w:val="none"/>
        </w:rPr>
        <w:fldChar w:fldCharType="begin"/>
      </w:r>
      <w:r>
        <w:rPr>
          <w:highlight w:val="none"/>
        </w:rPr>
        <w:instrText xml:space="preserve"> PAGEREF _Toc31975 \h </w:instrText>
      </w:r>
      <w:r>
        <w:rPr>
          <w:highlight w:val="none"/>
        </w:rPr>
        <w:fldChar w:fldCharType="separate"/>
      </w:r>
      <w:r>
        <w:rPr>
          <w:highlight w:val="none"/>
        </w:rPr>
        <w:t>65</w:t>
      </w:r>
      <w:r>
        <w:rPr>
          <w:highlight w:val="none"/>
        </w:rPr>
        <w:fldChar w:fldCharType="end"/>
      </w:r>
      <w:r>
        <w:rPr>
          <w:highlight w:val="none"/>
        </w:rPr>
        <w:fldChar w:fldCharType="end"/>
      </w:r>
    </w:p>
    <w:p w14:paraId="5C11137D">
      <w:pPr>
        <w:pStyle w:val="210"/>
        <w:tabs>
          <w:tab w:val="right" w:leader="dot" w:pos="9366"/>
        </w:tabs>
        <w:rPr>
          <w:highlight w:val="none"/>
        </w:rPr>
      </w:pPr>
      <w:r>
        <w:rPr>
          <w:highlight w:val="none"/>
        </w:rPr>
        <w:fldChar w:fldCharType="begin"/>
      </w:r>
      <w:r>
        <w:rPr>
          <w:highlight w:val="none"/>
        </w:rPr>
        <w:instrText xml:space="preserve"> HYPERLINK \l _Toc6149 </w:instrText>
      </w:r>
      <w:r>
        <w:rPr>
          <w:highlight w:val="none"/>
        </w:rPr>
        <w:fldChar w:fldCharType="separate"/>
      </w:r>
      <w:r>
        <w:rPr>
          <w:rFonts w:ascii="宋体" w:hAnsi="宋体" w:eastAsia="宋体" w:cs="宋体"/>
          <w:highlight w:val="none"/>
        </w:rPr>
        <w:t>(七)落实政府采购政策需满足的资格要求</w:t>
      </w:r>
      <w:r>
        <w:rPr>
          <w:highlight w:val="none"/>
        </w:rPr>
        <w:tab/>
      </w:r>
      <w:r>
        <w:rPr>
          <w:highlight w:val="none"/>
        </w:rPr>
        <w:fldChar w:fldCharType="begin"/>
      </w:r>
      <w:r>
        <w:rPr>
          <w:highlight w:val="none"/>
        </w:rPr>
        <w:instrText xml:space="preserve"> PAGEREF _Toc6149 \h </w:instrText>
      </w:r>
      <w:r>
        <w:rPr>
          <w:highlight w:val="none"/>
        </w:rPr>
        <w:fldChar w:fldCharType="separate"/>
      </w:r>
      <w:r>
        <w:rPr>
          <w:highlight w:val="none"/>
        </w:rPr>
        <w:t>66</w:t>
      </w:r>
      <w:r>
        <w:rPr>
          <w:highlight w:val="none"/>
        </w:rPr>
        <w:fldChar w:fldCharType="end"/>
      </w:r>
      <w:r>
        <w:rPr>
          <w:highlight w:val="none"/>
        </w:rPr>
        <w:fldChar w:fldCharType="end"/>
      </w:r>
    </w:p>
    <w:p w14:paraId="520DAEEC">
      <w:pPr>
        <w:pStyle w:val="210"/>
        <w:tabs>
          <w:tab w:val="right" w:leader="dot" w:pos="9366"/>
        </w:tabs>
        <w:rPr>
          <w:highlight w:val="none"/>
        </w:rPr>
      </w:pPr>
      <w:r>
        <w:rPr>
          <w:highlight w:val="none"/>
        </w:rPr>
        <w:fldChar w:fldCharType="begin"/>
      </w:r>
      <w:r>
        <w:rPr>
          <w:highlight w:val="none"/>
        </w:rPr>
        <w:instrText xml:space="preserve"> HYPERLINK \l _Toc17419 </w:instrText>
      </w:r>
      <w:r>
        <w:rPr>
          <w:highlight w:val="none"/>
        </w:rPr>
        <w:fldChar w:fldCharType="separate"/>
      </w:r>
      <w:r>
        <w:rPr>
          <w:rFonts w:hint="eastAsia" w:ascii="宋体" w:hAnsi="宋体" w:eastAsia="宋体" w:cs="宋体"/>
          <w:highlight w:val="none"/>
          <w:lang w:val="en-US" w:eastAsia="zh-CN"/>
        </w:rPr>
        <w:t>1、</w:t>
      </w:r>
      <w:r>
        <w:rPr>
          <w:rFonts w:ascii="宋体" w:hAnsi="宋体" w:eastAsia="宋体" w:cs="宋体"/>
          <w:highlight w:val="none"/>
        </w:rPr>
        <w:t>中小企业声明函</w:t>
      </w:r>
      <w:r>
        <w:rPr>
          <w:highlight w:val="none"/>
        </w:rPr>
        <w:tab/>
      </w:r>
      <w:r>
        <w:rPr>
          <w:highlight w:val="none"/>
        </w:rPr>
        <w:fldChar w:fldCharType="begin"/>
      </w:r>
      <w:r>
        <w:rPr>
          <w:highlight w:val="none"/>
        </w:rPr>
        <w:instrText xml:space="preserve"> PAGEREF _Toc17419 \h </w:instrText>
      </w:r>
      <w:r>
        <w:rPr>
          <w:highlight w:val="none"/>
        </w:rPr>
        <w:fldChar w:fldCharType="separate"/>
      </w:r>
      <w:r>
        <w:rPr>
          <w:highlight w:val="none"/>
        </w:rPr>
        <w:t>66</w:t>
      </w:r>
      <w:r>
        <w:rPr>
          <w:highlight w:val="none"/>
        </w:rPr>
        <w:fldChar w:fldCharType="end"/>
      </w:r>
      <w:r>
        <w:rPr>
          <w:highlight w:val="none"/>
        </w:rPr>
        <w:fldChar w:fldCharType="end"/>
      </w:r>
    </w:p>
    <w:p w14:paraId="6EEBE1DB">
      <w:pPr>
        <w:pStyle w:val="210"/>
        <w:tabs>
          <w:tab w:val="right" w:leader="dot" w:pos="9366"/>
        </w:tabs>
        <w:rPr>
          <w:highlight w:val="none"/>
        </w:rPr>
      </w:pPr>
      <w:r>
        <w:rPr>
          <w:highlight w:val="none"/>
        </w:rPr>
        <w:fldChar w:fldCharType="begin"/>
      </w:r>
      <w:r>
        <w:rPr>
          <w:highlight w:val="none"/>
        </w:rPr>
        <w:instrText xml:space="preserve"> HYPERLINK \l _Toc19722 </w:instrText>
      </w:r>
      <w:r>
        <w:rPr>
          <w:highlight w:val="none"/>
        </w:rPr>
        <w:fldChar w:fldCharType="separate"/>
      </w:r>
      <w:r>
        <w:rPr>
          <w:rFonts w:hint="eastAsia" w:ascii="宋体" w:hAnsi="宋体" w:eastAsia="Times New Roman" w:cs="宋体"/>
          <w:highlight w:val="none"/>
          <w:lang w:val="en-US" w:eastAsia="zh-CN"/>
        </w:rPr>
        <w:t>2、</w:t>
      </w:r>
      <w:r>
        <w:rPr>
          <w:rFonts w:ascii="宋体" w:hAnsi="宋体" w:cs="宋体"/>
          <w:highlight w:val="none"/>
        </w:rPr>
        <w:t>残疾人福利性单位声明函（可选）</w:t>
      </w:r>
      <w:r>
        <w:rPr>
          <w:highlight w:val="none"/>
        </w:rPr>
        <w:tab/>
      </w:r>
      <w:r>
        <w:rPr>
          <w:highlight w:val="none"/>
        </w:rPr>
        <w:fldChar w:fldCharType="begin"/>
      </w:r>
      <w:r>
        <w:rPr>
          <w:highlight w:val="none"/>
        </w:rPr>
        <w:instrText xml:space="preserve"> PAGEREF _Toc19722 \h </w:instrText>
      </w:r>
      <w:r>
        <w:rPr>
          <w:highlight w:val="none"/>
        </w:rPr>
        <w:fldChar w:fldCharType="separate"/>
      </w:r>
      <w:r>
        <w:rPr>
          <w:highlight w:val="none"/>
        </w:rPr>
        <w:t>68</w:t>
      </w:r>
      <w:r>
        <w:rPr>
          <w:highlight w:val="none"/>
        </w:rPr>
        <w:fldChar w:fldCharType="end"/>
      </w:r>
      <w:r>
        <w:rPr>
          <w:highlight w:val="none"/>
        </w:rPr>
        <w:fldChar w:fldCharType="end"/>
      </w:r>
    </w:p>
    <w:p w14:paraId="1E28AE30">
      <w:pPr>
        <w:pStyle w:val="210"/>
        <w:tabs>
          <w:tab w:val="right" w:leader="dot" w:pos="9366"/>
        </w:tabs>
        <w:rPr>
          <w:highlight w:val="none"/>
        </w:rPr>
      </w:pPr>
      <w:r>
        <w:rPr>
          <w:highlight w:val="none"/>
        </w:rPr>
        <w:fldChar w:fldCharType="begin"/>
      </w:r>
      <w:r>
        <w:rPr>
          <w:highlight w:val="none"/>
        </w:rPr>
        <w:instrText xml:space="preserve"> HYPERLINK \l _Toc15176 </w:instrText>
      </w:r>
      <w:r>
        <w:rPr>
          <w:highlight w:val="none"/>
        </w:rPr>
        <w:fldChar w:fldCharType="separate"/>
      </w:r>
      <w:r>
        <w:rPr>
          <w:rFonts w:ascii="宋体" w:hAnsi="宋体" w:eastAsia="宋体" w:cs="宋体"/>
          <w:highlight w:val="none"/>
        </w:rPr>
        <w:t>(八)本项目的特定资格要求</w:t>
      </w:r>
      <w:r>
        <w:rPr>
          <w:highlight w:val="none"/>
        </w:rPr>
        <w:tab/>
      </w:r>
      <w:r>
        <w:rPr>
          <w:highlight w:val="none"/>
        </w:rPr>
        <w:fldChar w:fldCharType="begin"/>
      </w:r>
      <w:r>
        <w:rPr>
          <w:highlight w:val="none"/>
        </w:rPr>
        <w:instrText xml:space="preserve"> PAGEREF _Toc15176 \h </w:instrText>
      </w:r>
      <w:r>
        <w:rPr>
          <w:highlight w:val="none"/>
        </w:rPr>
        <w:fldChar w:fldCharType="separate"/>
      </w:r>
      <w:r>
        <w:rPr>
          <w:highlight w:val="none"/>
        </w:rPr>
        <w:t>68</w:t>
      </w:r>
      <w:r>
        <w:rPr>
          <w:highlight w:val="none"/>
        </w:rPr>
        <w:fldChar w:fldCharType="end"/>
      </w:r>
      <w:r>
        <w:rPr>
          <w:highlight w:val="none"/>
        </w:rPr>
        <w:fldChar w:fldCharType="end"/>
      </w:r>
    </w:p>
    <w:p w14:paraId="10D5F3EA">
      <w:pPr>
        <w:pStyle w:val="210"/>
        <w:tabs>
          <w:tab w:val="right" w:leader="dot" w:pos="9366"/>
        </w:tabs>
        <w:rPr>
          <w:highlight w:val="none"/>
        </w:rPr>
      </w:pPr>
      <w:r>
        <w:rPr>
          <w:highlight w:val="none"/>
        </w:rPr>
        <w:fldChar w:fldCharType="begin"/>
      </w:r>
      <w:r>
        <w:rPr>
          <w:highlight w:val="none"/>
        </w:rPr>
        <w:instrText xml:space="preserve"> HYPERLINK \l _Toc907 </w:instrText>
      </w:r>
      <w:r>
        <w:rPr>
          <w:highlight w:val="none"/>
        </w:rPr>
        <w:fldChar w:fldCharType="separate"/>
      </w:r>
      <w:r>
        <w:rPr>
          <w:rFonts w:ascii="宋体" w:hAnsi="宋体" w:eastAsia="宋体" w:cs="宋体"/>
          <w:highlight w:val="none"/>
        </w:rPr>
        <w:t>(九)法定代表人（负责人）身份证明书</w:t>
      </w:r>
      <w:r>
        <w:rPr>
          <w:highlight w:val="none"/>
        </w:rPr>
        <w:tab/>
      </w:r>
      <w:r>
        <w:rPr>
          <w:highlight w:val="none"/>
        </w:rPr>
        <w:fldChar w:fldCharType="begin"/>
      </w:r>
      <w:r>
        <w:rPr>
          <w:highlight w:val="none"/>
        </w:rPr>
        <w:instrText xml:space="preserve"> PAGEREF _Toc907 \h </w:instrText>
      </w:r>
      <w:r>
        <w:rPr>
          <w:highlight w:val="none"/>
        </w:rPr>
        <w:fldChar w:fldCharType="separate"/>
      </w:r>
      <w:r>
        <w:rPr>
          <w:highlight w:val="none"/>
        </w:rPr>
        <w:t>69</w:t>
      </w:r>
      <w:r>
        <w:rPr>
          <w:highlight w:val="none"/>
        </w:rPr>
        <w:fldChar w:fldCharType="end"/>
      </w:r>
      <w:r>
        <w:rPr>
          <w:highlight w:val="none"/>
        </w:rPr>
        <w:fldChar w:fldCharType="end"/>
      </w:r>
    </w:p>
    <w:p w14:paraId="1AF38FAB">
      <w:pPr>
        <w:pStyle w:val="210"/>
        <w:tabs>
          <w:tab w:val="right" w:leader="dot" w:pos="9366"/>
        </w:tabs>
        <w:rPr>
          <w:highlight w:val="none"/>
        </w:rPr>
      </w:pPr>
      <w:r>
        <w:rPr>
          <w:highlight w:val="none"/>
        </w:rPr>
        <w:fldChar w:fldCharType="begin"/>
      </w:r>
      <w:r>
        <w:rPr>
          <w:highlight w:val="none"/>
        </w:rPr>
        <w:instrText xml:space="preserve"> HYPERLINK \l _Toc9661 </w:instrText>
      </w:r>
      <w:r>
        <w:rPr>
          <w:highlight w:val="none"/>
        </w:rPr>
        <w:fldChar w:fldCharType="separate"/>
      </w:r>
      <w:r>
        <w:rPr>
          <w:rFonts w:ascii="宋体" w:hAnsi="宋体" w:eastAsia="宋体" w:cs="宋体"/>
          <w:highlight w:val="none"/>
        </w:rPr>
        <w:t>(十)法定代表人（负责人）授权委托书</w:t>
      </w:r>
      <w:r>
        <w:rPr>
          <w:highlight w:val="none"/>
        </w:rPr>
        <w:tab/>
      </w:r>
      <w:r>
        <w:rPr>
          <w:highlight w:val="none"/>
        </w:rPr>
        <w:fldChar w:fldCharType="begin"/>
      </w:r>
      <w:r>
        <w:rPr>
          <w:highlight w:val="none"/>
        </w:rPr>
        <w:instrText xml:space="preserve"> PAGEREF _Toc9661 \h </w:instrText>
      </w:r>
      <w:r>
        <w:rPr>
          <w:highlight w:val="none"/>
        </w:rPr>
        <w:fldChar w:fldCharType="separate"/>
      </w:r>
      <w:r>
        <w:rPr>
          <w:highlight w:val="none"/>
        </w:rPr>
        <w:t>70</w:t>
      </w:r>
      <w:r>
        <w:rPr>
          <w:highlight w:val="none"/>
        </w:rPr>
        <w:fldChar w:fldCharType="end"/>
      </w:r>
      <w:r>
        <w:rPr>
          <w:highlight w:val="none"/>
        </w:rPr>
        <w:fldChar w:fldCharType="end"/>
      </w:r>
    </w:p>
    <w:p w14:paraId="05BEEA80">
      <w:pPr>
        <w:pStyle w:val="210"/>
        <w:tabs>
          <w:tab w:val="right" w:leader="dot" w:pos="9366"/>
        </w:tabs>
        <w:rPr>
          <w:highlight w:val="none"/>
        </w:rPr>
      </w:pPr>
      <w:r>
        <w:rPr>
          <w:highlight w:val="none"/>
        </w:rPr>
        <w:fldChar w:fldCharType="begin"/>
      </w:r>
      <w:r>
        <w:rPr>
          <w:highlight w:val="none"/>
        </w:rPr>
        <w:instrText xml:space="preserve"> HYPERLINK \l _Toc29285 </w:instrText>
      </w:r>
      <w:r>
        <w:rPr>
          <w:highlight w:val="none"/>
        </w:rPr>
        <w:fldChar w:fldCharType="separate"/>
      </w:r>
      <w:r>
        <w:rPr>
          <w:rFonts w:ascii="宋体" w:hAnsi="宋体" w:eastAsia="宋体" w:cs="宋体"/>
          <w:highlight w:val="none"/>
        </w:rPr>
        <w:t>(十一)资格承诺函</w:t>
      </w:r>
      <w:r>
        <w:rPr>
          <w:highlight w:val="none"/>
        </w:rPr>
        <w:tab/>
      </w:r>
      <w:r>
        <w:rPr>
          <w:highlight w:val="none"/>
        </w:rPr>
        <w:fldChar w:fldCharType="begin"/>
      </w:r>
      <w:r>
        <w:rPr>
          <w:highlight w:val="none"/>
        </w:rPr>
        <w:instrText xml:space="preserve"> PAGEREF _Toc29285 \h </w:instrText>
      </w:r>
      <w:r>
        <w:rPr>
          <w:highlight w:val="none"/>
        </w:rPr>
        <w:fldChar w:fldCharType="separate"/>
      </w:r>
      <w:r>
        <w:rPr>
          <w:highlight w:val="none"/>
        </w:rPr>
        <w:t>71</w:t>
      </w:r>
      <w:r>
        <w:rPr>
          <w:highlight w:val="none"/>
        </w:rPr>
        <w:fldChar w:fldCharType="end"/>
      </w:r>
      <w:r>
        <w:rPr>
          <w:highlight w:val="none"/>
        </w:rPr>
        <w:fldChar w:fldCharType="end"/>
      </w:r>
    </w:p>
    <w:p w14:paraId="0E1F0CB6">
      <w:pPr>
        <w:pStyle w:val="229"/>
        <w:tabs>
          <w:tab w:val="right" w:leader="dot" w:pos="9366"/>
        </w:tabs>
        <w:rPr>
          <w:highlight w:val="none"/>
        </w:rPr>
      </w:pPr>
      <w:r>
        <w:rPr>
          <w:highlight w:val="none"/>
        </w:rPr>
        <w:fldChar w:fldCharType="begin"/>
      </w:r>
      <w:r>
        <w:rPr>
          <w:highlight w:val="none"/>
        </w:rPr>
        <w:instrText xml:space="preserve"> HYPERLINK \l _Toc12479 </w:instrText>
      </w:r>
      <w:r>
        <w:rPr>
          <w:highlight w:val="none"/>
        </w:rPr>
        <w:fldChar w:fldCharType="separate"/>
      </w:r>
      <w:r>
        <w:rPr>
          <w:rFonts w:ascii="宋体" w:hAnsi="宋体" w:eastAsia="宋体" w:cs="宋体"/>
          <w:highlight w:val="none"/>
        </w:rPr>
        <w:t>二、技术部分</w:t>
      </w:r>
      <w:r>
        <w:rPr>
          <w:highlight w:val="none"/>
        </w:rPr>
        <w:tab/>
      </w:r>
      <w:r>
        <w:rPr>
          <w:highlight w:val="none"/>
        </w:rPr>
        <w:fldChar w:fldCharType="begin"/>
      </w:r>
      <w:r>
        <w:rPr>
          <w:highlight w:val="none"/>
        </w:rPr>
        <w:instrText xml:space="preserve"> PAGEREF _Toc12479 \h </w:instrText>
      </w:r>
      <w:r>
        <w:rPr>
          <w:highlight w:val="none"/>
        </w:rPr>
        <w:fldChar w:fldCharType="separate"/>
      </w:r>
      <w:r>
        <w:rPr>
          <w:highlight w:val="none"/>
        </w:rPr>
        <w:t>72</w:t>
      </w:r>
      <w:r>
        <w:rPr>
          <w:highlight w:val="none"/>
        </w:rPr>
        <w:fldChar w:fldCharType="end"/>
      </w:r>
      <w:r>
        <w:rPr>
          <w:highlight w:val="none"/>
        </w:rPr>
        <w:fldChar w:fldCharType="end"/>
      </w:r>
    </w:p>
    <w:p w14:paraId="4DAADD38">
      <w:pPr>
        <w:pStyle w:val="229"/>
        <w:tabs>
          <w:tab w:val="right" w:leader="dot" w:pos="9366"/>
        </w:tabs>
        <w:rPr>
          <w:highlight w:val="none"/>
        </w:rPr>
      </w:pPr>
      <w:r>
        <w:rPr>
          <w:highlight w:val="none"/>
        </w:rPr>
        <w:fldChar w:fldCharType="begin"/>
      </w:r>
      <w:r>
        <w:rPr>
          <w:highlight w:val="none"/>
        </w:rPr>
        <w:instrText xml:space="preserve"> HYPERLINK \l _Toc19533 </w:instrText>
      </w:r>
      <w:r>
        <w:rPr>
          <w:highlight w:val="none"/>
        </w:rPr>
        <w:fldChar w:fldCharType="separate"/>
      </w:r>
      <w:r>
        <w:rPr>
          <w:rFonts w:ascii="宋体" w:hAnsi="宋体" w:eastAsia="宋体" w:cs="宋体"/>
          <w:bCs/>
          <w:highlight w:val="none"/>
        </w:rPr>
        <w:t>(一)技术方案</w:t>
      </w:r>
      <w:r>
        <w:rPr>
          <w:highlight w:val="none"/>
        </w:rPr>
        <w:tab/>
      </w:r>
      <w:r>
        <w:rPr>
          <w:highlight w:val="none"/>
        </w:rPr>
        <w:fldChar w:fldCharType="begin"/>
      </w:r>
      <w:r>
        <w:rPr>
          <w:highlight w:val="none"/>
        </w:rPr>
        <w:instrText xml:space="preserve"> PAGEREF _Toc19533 \h </w:instrText>
      </w:r>
      <w:r>
        <w:rPr>
          <w:highlight w:val="none"/>
        </w:rPr>
        <w:fldChar w:fldCharType="separate"/>
      </w:r>
      <w:r>
        <w:rPr>
          <w:highlight w:val="none"/>
        </w:rPr>
        <w:t>72</w:t>
      </w:r>
      <w:r>
        <w:rPr>
          <w:highlight w:val="none"/>
        </w:rPr>
        <w:fldChar w:fldCharType="end"/>
      </w:r>
      <w:r>
        <w:rPr>
          <w:highlight w:val="none"/>
        </w:rPr>
        <w:fldChar w:fldCharType="end"/>
      </w:r>
    </w:p>
    <w:p w14:paraId="2A19C8FE">
      <w:pPr>
        <w:pStyle w:val="210"/>
        <w:tabs>
          <w:tab w:val="right" w:leader="dot" w:pos="9366"/>
        </w:tabs>
        <w:rPr>
          <w:highlight w:val="none"/>
        </w:rPr>
      </w:pPr>
      <w:r>
        <w:rPr>
          <w:highlight w:val="none"/>
        </w:rPr>
        <w:fldChar w:fldCharType="begin"/>
      </w:r>
      <w:r>
        <w:rPr>
          <w:highlight w:val="none"/>
        </w:rPr>
        <w:instrText xml:space="preserve"> HYPERLINK \l _Toc12578 </w:instrText>
      </w:r>
      <w:r>
        <w:rPr>
          <w:highlight w:val="none"/>
        </w:rPr>
        <w:fldChar w:fldCharType="separate"/>
      </w:r>
      <w:r>
        <w:rPr>
          <w:rFonts w:ascii="宋体" w:hAnsi="宋体" w:eastAsia="宋体" w:cs="宋体"/>
          <w:bCs/>
          <w:highlight w:val="none"/>
        </w:rPr>
        <w:t>(二)</w:t>
      </w:r>
      <w:r>
        <w:rPr>
          <w:rFonts w:hint="eastAsia" w:ascii="宋体" w:hAnsi="宋体" w:eastAsia="宋体" w:cs="宋体"/>
          <w:bCs/>
          <w:highlight w:val="none"/>
        </w:rPr>
        <w:t>技术及</w:t>
      </w:r>
      <w:r>
        <w:rPr>
          <w:rFonts w:ascii="宋体" w:hAnsi="宋体" w:eastAsia="宋体" w:cs="宋体"/>
          <w:bCs/>
          <w:highlight w:val="none"/>
        </w:rPr>
        <w:t>服务内容响应及偏离对照表</w:t>
      </w:r>
      <w:r>
        <w:rPr>
          <w:highlight w:val="none"/>
        </w:rPr>
        <w:tab/>
      </w:r>
      <w:r>
        <w:rPr>
          <w:highlight w:val="none"/>
        </w:rPr>
        <w:fldChar w:fldCharType="begin"/>
      </w:r>
      <w:r>
        <w:rPr>
          <w:highlight w:val="none"/>
        </w:rPr>
        <w:instrText xml:space="preserve"> PAGEREF _Toc12578 \h </w:instrText>
      </w:r>
      <w:r>
        <w:rPr>
          <w:highlight w:val="none"/>
        </w:rPr>
        <w:fldChar w:fldCharType="separate"/>
      </w:r>
      <w:r>
        <w:rPr>
          <w:highlight w:val="none"/>
        </w:rPr>
        <w:t>73</w:t>
      </w:r>
      <w:r>
        <w:rPr>
          <w:highlight w:val="none"/>
        </w:rPr>
        <w:fldChar w:fldCharType="end"/>
      </w:r>
      <w:r>
        <w:rPr>
          <w:highlight w:val="none"/>
        </w:rPr>
        <w:fldChar w:fldCharType="end"/>
      </w:r>
    </w:p>
    <w:p w14:paraId="3344A66B">
      <w:pPr>
        <w:pStyle w:val="210"/>
        <w:tabs>
          <w:tab w:val="right" w:leader="dot" w:pos="9366"/>
        </w:tabs>
        <w:rPr>
          <w:rFonts w:ascii="Times New Roman" w:hAnsi="Times New Roman" w:eastAsia="宋体" w:cs="Times New Roman"/>
          <w:iCs w:val="0"/>
          <w:sz w:val="21"/>
          <w:szCs w:val="22"/>
          <w:highlight w:val="none"/>
          <w:lang w:val="en-US" w:eastAsia="zh-CN" w:bidi="ar-SA"/>
        </w:rPr>
      </w:pPr>
      <w:r>
        <w:rPr>
          <w:rFonts w:ascii="Times New Roman" w:hAnsi="Times New Roman" w:eastAsia="宋体" w:cs="Times New Roman"/>
          <w:iCs w:val="0"/>
          <w:sz w:val="21"/>
          <w:szCs w:val="22"/>
          <w:highlight w:val="none"/>
          <w:lang w:val="en-US" w:eastAsia="zh-CN" w:bidi="ar-SA"/>
        </w:rPr>
        <w:t>三、商务部分</w:t>
      </w:r>
      <w:r>
        <w:rPr>
          <w:highlight w:val="none"/>
        </w:rPr>
        <w:tab/>
      </w:r>
      <w:r>
        <w:rPr>
          <w:highlight w:val="none"/>
        </w:rPr>
        <w:fldChar w:fldCharType="begin"/>
      </w:r>
      <w:r>
        <w:rPr>
          <w:highlight w:val="none"/>
        </w:rPr>
        <w:instrText xml:space="preserve"> PAGEREF _Toc12479 \h </w:instrText>
      </w:r>
      <w:r>
        <w:rPr>
          <w:highlight w:val="none"/>
        </w:rPr>
        <w:fldChar w:fldCharType="separate"/>
      </w:r>
      <w:r>
        <w:rPr>
          <w:highlight w:val="none"/>
        </w:rPr>
        <w:t>72</w:t>
      </w:r>
      <w:r>
        <w:rPr>
          <w:highlight w:val="none"/>
        </w:rPr>
        <w:fldChar w:fldCharType="end"/>
      </w:r>
    </w:p>
    <w:p w14:paraId="7D2F672E">
      <w:pPr>
        <w:pStyle w:val="210"/>
        <w:tabs>
          <w:tab w:val="right" w:leader="dot" w:pos="9366"/>
        </w:tabs>
        <w:rPr>
          <w:highlight w:val="none"/>
        </w:rPr>
      </w:pPr>
      <w:r>
        <w:rPr>
          <w:highlight w:val="none"/>
        </w:rPr>
        <w:fldChar w:fldCharType="begin"/>
      </w:r>
      <w:r>
        <w:rPr>
          <w:highlight w:val="none"/>
        </w:rPr>
        <w:instrText xml:space="preserve"> HYPERLINK \l _Toc19794 </w:instrText>
      </w:r>
      <w:r>
        <w:rPr>
          <w:highlight w:val="none"/>
        </w:rPr>
        <w:fldChar w:fldCharType="separate"/>
      </w:r>
      <w:r>
        <w:rPr>
          <w:rFonts w:ascii="宋体" w:hAnsi="宋体" w:eastAsia="宋体" w:cs="宋体"/>
          <w:bCs/>
          <w:highlight w:val="none"/>
        </w:rPr>
        <w:t>(一)</w:t>
      </w:r>
      <w:r>
        <w:rPr>
          <w:rFonts w:hint="eastAsia" w:ascii="宋体" w:hAnsi="宋体" w:eastAsia="宋体" w:cs="宋体"/>
          <w:bCs/>
          <w:highlight w:val="none"/>
          <w:lang w:val="en-US" w:eastAsia="zh-CN"/>
        </w:rPr>
        <w:t>企业认证情况</w:t>
      </w:r>
      <w:r>
        <w:rPr>
          <w:highlight w:val="none"/>
        </w:rPr>
        <w:tab/>
      </w:r>
      <w:r>
        <w:rPr>
          <w:highlight w:val="none"/>
        </w:rPr>
        <w:fldChar w:fldCharType="begin"/>
      </w:r>
      <w:r>
        <w:rPr>
          <w:highlight w:val="none"/>
        </w:rPr>
        <w:instrText xml:space="preserve"> PAGEREF _Toc19794 \h </w:instrText>
      </w:r>
      <w:r>
        <w:rPr>
          <w:highlight w:val="none"/>
        </w:rPr>
        <w:fldChar w:fldCharType="separate"/>
      </w:r>
      <w:r>
        <w:rPr>
          <w:highlight w:val="none"/>
        </w:rPr>
        <w:t>75</w:t>
      </w:r>
      <w:r>
        <w:rPr>
          <w:highlight w:val="none"/>
        </w:rPr>
        <w:fldChar w:fldCharType="end"/>
      </w:r>
      <w:r>
        <w:rPr>
          <w:highlight w:val="none"/>
        </w:rPr>
        <w:fldChar w:fldCharType="end"/>
      </w:r>
    </w:p>
    <w:p w14:paraId="79EC3916">
      <w:pPr>
        <w:pStyle w:val="210"/>
        <w:tabs>
          <w:tab w:val="right" w:leader="dot" w:pos="9366"/>
        </w:tabs>
        <w:rPr>
          <w:highlight w:val="none"/>
        </w:rPr>
      </w:pPr>
      <w:r>
        <w:rPr>
          <w:highlight w:val="none"/>
        </w:rPr>
        <w:fldChar w:fldCharType="begin"/>
      </w:r>
      <w:r>
        <w:rPr>
          <w:highlight w:val="none"/>
        </w:rPr>
        <w:instrText xml:space="preserve"> HYPERLINK \l _Toc18928 </w:instrText>
      </w:r>
      <w:r>
        <w:rPr>
          <w:highlight w:val="none"/>
        </w:rPr>
        <w:fldChar w:fldCharType="separate"/>
      </w:r>
      <w:r>
        <w:rPr>
          <w:highlight w:val="none"/>
        </w:rPr>
        <w:t>(二)</w:t>
      </w:r>
      <w:r>
        <w:rPr>
          <w:rFonts w:hint="eastAsia"/>
          <w:highlight w:val="none"/>
        </w:rPr>
        <w:t xml:space="preserve"> </w:t>
      </w:r>
      <w:r>
        <w:rPr>
          <w:rFonts w:hint="eastAsia" w:ascii="宋体" w:hAnsi="宋体" w:eastAsia="Times New Roman" w:cs="Times New Roman"/>
          <w:szCs w:val="20"/>
          <w:highlight w:val="none"/>
          <w:lang w:val="en-US" w:eastAsia="zh-CN"/>
        </w:rPr>
        <w:t>供应商荣誉</w:t>
      </w:r>
      <w:r>
        <w:rPr>
          <w:highlight w:val="none"/>
        </w:rPr>
        <w:tab/>
      </w:r>
      <w:r>
        <w:rPr>
          <w:highlight w:val="none"/>
        </w:rPr>
        <w:fldChar w:fldCharType="begin"/>
      </w:r>
      <w:r>
        <w:rPr>
          <w:highlight w:val="none"/>
        </w:rPr>
        <w:instrText xml:space="preserve"> PAGEREF _Toc18928 \h </w:instrText>
      </w:r>
      <w:r>
        <w:rPr>
          <w:highlight w:val="none"/>
        </w:rPr>
        <w:fldChar w:fldCharType="separate"/>
      </w:r>
      <w:r>
        <w:rPr>
          <w:highlight w:val="none"/>
        </w:rPr>
        <w:t>76</w:t>
      </w:r>
      <w:r>
        <w:rPr>
          <w:highlight w:val="none"/>
        </w:rPr>
        <w:fldChar w:fldCharType="end"/>
      </w:r>
      <w:r>
        <w:rPr>
          <w:highlight w:val="none"/>
        </w:rPr>
        <w:fldChar w:fldCharType="end"/>
      </w:r>
    </w:p>
    <w:p w14:paraId="796E1DD7">
      <w:pPr>
        <w:pStyle w:val="210"/>
        <w:tabs>
          <w:tab w:val="right" w:leader="dot" w:pos="9366"/>
        </w:tabs>
        <w:rPr>
          <w:highlight w:val="none"/>
        </w:rPr>
      </w:pPr>
      <w:r>
        <w:rPr>
          <w:highlight w:val="none"/>
        </w:rPr>
        <w:fldChar w:fldCharType="begin"/>
      </w:r>
      <w:r>
        <w:rPr>
          <w:highlight w:val="none"/>
        </w:rPr>
        <w:instrText xml:space="preserve"> HYPERLINK \l _Toc17834 </w:instrText>
      </w:r>
      <w:r>
        <w:rPr>
          <w:highlight w:val="none"/>
        </w:rPr>
        <w:fldChar w:fldCharType="separate"/>
      </w:r>
      <w:r>
        <w:rPr>
          <w:rFonts w:hint="eastAsia" w:ascii="宋体" w:hAnsi="宋体" w:eastAsia="Times New Roman" w:cs="Times New Roman"/>
          <w:szCs w:val="20"/>
          <w:highlight w:val="none"/>
        </w:rPr>
        <w:t>(</w:t>
      </w:r>
      <w:r>
        <w:rPr>
          <w:rFonts w:hint="eastAsia" w:ascii="宋体" w:hAnsi="宋体" w:eastAsia="Times New Roman" w:cs="Times New Roman"/>
          <w:szCs w:val="20"/>
          <w:highlight w:val="none"/>
          <w:lang w:val="en-US" w:eastAsia="zh-CN"/>
        </w:rPr>
        <w:t>三</w:t>
      </w:r>
      <w:r>
        <w:rPr>
          <w:rFonts w:hint="eastAsia" w:ascii="宋体" w:hAnsi="宋体" w:eastAsia="Times New Roman" w:cs="Times New Roman"/>
          <w:szCs w:val="20"/>
          <w:highlight w:val="none"/>
        </w:rPr>
        <w:t xml:space="preserve">) </w:t>
      </w:r>
      <w:r>
        <w:rPr>
          <w:rFonts w:hint="eastAsia" w:ascii="宋体" w:hAnsi="宋体"/>
          <w:szCs w:val="20"/>
          <w:highlight w:val="none"/>
        </w:rPr>
        <w:t>供应商类似业绩表</w:t>
      </w:r>
      <w:r>
        <w:rPr>
          <w:highlight w:val="none"/>
        </w:rPr>
        <w:tab/>
      </w:r>
      <w:r>
        <w:rPr>
          <w:highlight w:val="none"/>
        </w:rPr>
        <w:fldChar w:fldCharType="begin"/>
      </w:r>
      <w:r>
        <w:rPr>
          <w:highlight w:val="none"/>
        </w:rPr>
        <w:instrText xml:space="preserve"> PAGEREF _Toc17834 \h </w:instrText>
      </w:r>
      <w:r>
        <w:rPr>
          <w:highlight w:val="none"/>
        </w:rPr>
        <w:fldChar w:fldCharType="separate"/>
      </w:r>
      <w:r>
        <w:rPr>
          <w:highlight w:val="none"/>
        </w:rPr>
        <w:t>78</w:t>
      </w:r>
      <w:r>
        <w:rPr>
          <w:highlight w:val="none"/>
        </w:rPr>
        <w:fldChar w:fldCharType="end"/>
      </w:r>
      <w:r>
        <w:rPr>
          <w:highlight w:val="none"/>
        </w:rPr>
        <w:fldChar w:fldCharType="end"/>
      </w:r>
    </w:p>
    <w:p w14:paraId="6C929038">
      <w:pPr>
        <w:pStyle w:val="210"/>
        <w:tabs>
          <w:tab w:val="right" w:leader="dot" w:pos="9366"/>
        </w:tabs>
        <w:rPr>
          <w:highlight w:val="none"/>
        </w:rPr>
      </w:pPr>
      <w:r>
        <w:rPr>
          <w:highlight w:val="none"/>
        </w:rPr>
        <w:fldChar w:fldCharType="begin"/>
      </w:r>
      <w:r>
        <w:rPr>
          <w:highlight w:val="none"/>
        </w:rPr>
        <w:instrText xml:space="preserve"> HYPERLINK \l _Toc32621 </w:instrText>
      </w:r>
      <w:r>
        <w:rPr>
          <w:highlight w:val="none"/>
        </w:rPr>
        <w:fldChar w:fldCharType="separate"/>
      </w:r>
      <w:r>
        <w:rPr>
          <w:rFonts w:ascii="宋体" w:hAnsi="宋体" w:eastAsia="宋体" w:cs="宋体"/>
          <w:bCs/>
          <w:highlight w:val="none"/>
        </w:rPr>
        <w:t>(</w:t>
      </w:r>
      <w:r>
        <w:rPr>
          <w:rFonts w:hint="eastAsia" w:ascii="宋体" w:hAnsi="宋体" w:eastAsia="宋体" w:cs="宋体"/>
          <w:bCs/>
          <w:highlight w:val="none"/>
          <w:lang w:val="en-US" w:eastAsia="zh-CN"/>
        </w:rPr>
        <w:t>四</w:t>
      </w:r>
      <w:r>
        <w:rPr>
          <w:rFonts w:ascii="宋体" w:hAnsi="宋体" w:eastAsia="宋体" w:cs="宋体"/>
          <w:bCs/>
          <w:highlight w:val="none"/>
        </w:rPr>
        <w:t>)项目</w:t>
      </w:r>
      <w:r>
        <w:rPr>
          <w:rFonts w:hint="eastAsia" w:ascii="宋体" w:hAnsi="宋体" w:eastAsia="宋体" w:cs="宋体"/>
          <w:bCs/>
          <w:highlight w:val="none"/>
          <w:lang w:eastAsia="zh-CN"/>
        </w:rPr>
        <w:t>负责人</w:t>
      </w:r>
      <w:r>
        <w:rPr>
          <w:rFonts w:ascii="宋体" w:hAnsi="宋体" w:eastAsia="宋体" w:cs="宋体"/>
          <w:bCs/>
          <w:highlight w:val="none"/>
        </w:rPr>
        <w:t>能力</w:t>
      </w:r>
      <w:r>
        <w:rPr>
          <w:highlight w:val="none"/>
        </w:rPr>
        <w:tab/>
      </w:r>
      <w:r>
        <w:rPr>
          <w:highlight w:val="none"/>
        </w:rPr>
        <w:fldChar w:fldCharType="begin"/>
      </w:r>
      <w:r>
        <w:rPr>
          <w:highlight w:val="none"/>
        </w:rPr>
        <w:instrText xml:space="preserve"> PAGEREF _Toc32621 \h </w:instrText>
      </w:r>
      <w:r>
        <w:rPr>
          <w:highlight w:val="none"/>
        </w:rPr>
        <w:fldChar w:fldCharType="separate"/>
      </w:r>
      <w:r>
        <w:rPr>
          <w:highlight w:val="none"/>
        </w:rPr>
        <w:t>79</w:t>
      </w:r>
      <w:r>
        <w:rPr>
          <w:highlight w:val="none"/>
        </w:rPr>
        <w:fldChar w:fldCharType="end"/>
      </w:r>
      <w:r>
        <w:rPr>
          <w:highlight w:val="none"/>
        </w:rPr>
        <w:fldChar w:fldCharType="end"/>
      </w:r>
    </w:p>
    <w:p w14:paraId="794C7BC6">
      <w:pPr>
        <w:pStyle w:val="210"/>
        <w:tabs>
          <w:tab w:val="right" w:leader="dot" w:pos="9366"/>
        </w:tabs>
        <w:rPr>
          <w:highlight w:val="none"/>
        </w:rPr>
      </w:pPr>
      <w:r>
        <w:rPr>
          <w:highlight w:val="none"/>
        </w:rPr>
        <w:fldChar w:fldCharType="begin"/>
      </w:r>
      <w:r>
        <w:rPr>
          <w:highlight w:val="none"/>
        </w:rPr>
        <w:instrText xml:space="preserve"> HYPERLINK \l _Toc25775 </w:instrText>
      </w:r>
      <w:r>
        <w:rPr>
          <w:highlight w:val="none"/>
        </w:rPr>
        <w:fldChar w:fldCharType="separate"/>
      </w:r>
      <w:r>
        <w:rPr>
          <w:rFonts w:ascii="宋体" w:hAnsi="宋体" w:eastAsia="宋体" w:cs="宋体"/>
          <w:bCs/>
          <w:highlight w:val="none"/>
        </w:rPr>
        <w:t>(</w:t>
      </w:r>
      <w:r>
        <w:rPr>
          <w:rFonts w:hint="eastAsia" w:ascii="宋体" w:hAnsi="宋体" w:cs="宋体"/>
          <w:bCs/>
          <w:highlight w:val="none"/>
          <w:lang w:val="en-US" w:eastAsia="zh-CN"/>
        </w:rPr>
        <w:t>五</w:t>
      </w:r>
      <w:r>
        <w:rPr>
          <w:rFonts w:ascii="宋体" w:hAnsi="宋体" w:eastAsia="宋体" w:cs="宋体"/>
          <w:bCs/>
          <w:highlight w:val="none"/>
        </w:rPr>
        <w:t>)首次报价一览表</w:t>
      </w:r>
      <w:r>
        <w:rPr>
          <w:highlight w:val="none"/>
        </w:rPr>
        <w:tab/>
      </w:r>
      <w:r>
        <w:rPr>
          <w:highlight w:val="none"/>
        </w:rPr>
        <w:fldChar w:fldCharType="begin"/>
      </w:r>
      <w:r>
        <w:rPr>
          <w:highlight w:val="none"/>
        </w:rPr>
        <w:instrText xml:space="preserve"> PAGEREF _Toc25775 \h </w:instrText>
      </w:r>
      <w:r>
        <w:rPr>
          <w:highlight w:val="none"/>
        </w:rPr>
        <w:fldChar w:fldCharType="separate"/>
      </w:r>
      <w:r>
        <w:rPr>
          <w:highlight w:val="none"/>
        </w:rPr>
        <w:t>80</w:t>
      </w:r>
      <w:r>
        <w:rPr>
          <w:highlight w:val="none"/>
        </w:rPr>
        <w:fldChar w:fldCharType="end"/>
      </w:r>
      <w:r>
        <w:rPr>
          <w:highlight w:val="none"/>
        </w:rPr>
        <w:fldChar w:fldCharType="end"/>
      </w:r>
    </w:p>
    <w:p w14:paraId="5E96CDAA">
      <w:pPr>
        <w:pStyle w:val="210"/>
        <w:tabs>
          <w:tab w:val="right" w:leader="dot" w:pos="9366"/>
        </w:tabs>
        <w:rPr>
          <w:highlight w:val="none"/>
        </w:rPr>
      </w:pPr>
      <w:r>
        <w:rPr>
          <w:highlight w:val="none"/>
        </w:rPr>
        <w:fldChar w:fldCharType="begin"/>
      </w:r>
      <w:r>
        <w:rPr>
          <w:highlight w:val="none"/>
        </w:rPr>
        <w:instrText xml:space="preserve"> HYPERLINK \l _Toc805 </w:instrText>
      </w:r>
      <w:r>
        <w:rPr>
          <w:highlight w:val="none"/>
        </w:rPr>
        <w:fldChar w:fldCharType="separate"/>
      </w:r>
      <w:r>
        <w:rPr>
          <w:rFonts w:ascii="宋体" w:hAnsi="宋体" w:eastAsia="宋体" w:cs="宋体"/>
          <w:bCs/>
          <w:highlight w:val="none"/>
        </w:rPr>
        <w:t>(</w:t>
      </w:r>
      <w:r>
        <w:rPr>
          <w:rFonts w:hint="eastAsia" w:ascii="宋体" w:hAnsi="宋体" w:cs="宋体"/>
          <w:bCs/>
          <w:highlight w:val="none"/>
          <w:lang w:val="en-US" w:eastAsia="zh-CN"/>
        </w:rPr>
        <w:t>六</w:t>
      </w:r>
      <w:r>
        <w:rPr>
          <w:rFonts w:ascii="宋体" w:hAnsi="宋体" w:eastAsia="宋体" w:cs="宋体"/>
          <w:bCs/>
          <w:highlight w:val="none"/>
        </w:rPr>
        <w:t>)首次明细报价表</w:t>
      </w:r>
      <w:r>
        <w:rPr>
          <w:highlight w:val="none"/>
        </w:rPr>
        <w:tab/>
      </w:r>
      <w:r>
        <w:rPr>
          <w:highlight w:val="none"/>
        </w:rPr>
        <w:fldChar w:fldCharType="begin"/>
      </w:r>
      <w:r>
        <w:rPr>
          <w:highlight w:val="none"/>
        </w:rPr>
        <w:instrText xml:space="preserve"> PAGEREF _Toc805 \h </w:instrText>
      </w:r>
      <w:r>
        <w:rPr>
          <w:highlight w:val="none"/>
        </w:rPr>
        <w:fldChar w:fldCharType="separate"/>
      </w:r>
      <w:r>
        <w:rPr>
          <w:highlight w:val="none"/>
        </w:rPr>
        <w:t>81</w:t>
      </w:r>
      <w:r>
        <w:rPr>
          <w:highlight w:val="none"/>
        </w:rPr>
        <w:fldChar w:fldCharType="end"/>
      </w:r>
      <w:r>
        <w:rPr>
          <w:highlight w:val="none"/>
        </w:rPr>
        <w:fldChar w:fldCharType="end"/>
      </w:r>
    </w:p>
    <w:p w14:paraId="27937B5F">
      <w:pPr>
        <w:pStyle w:val="210"/>
        <w:tabs>
          <w:tab w:val="right" w:leader="dot" w:pos="9366"/>
        </w:tabs>
        <w:rPr>
          <w:highlight w:val="none"/>
        </w:rPr>
      </w:pPr>
      <w:r>
        <w:rPr>
          <w:highlight w:val="none"/>
        </w:rPr>
        <w:fldChar w:fldCharType="begin"/>
      </w:r>
      <w:r>
        <w:rPr>
          <w:highlight w:val="none"/>
        </w:rPr>
        <w:instrText xml:space="preserve"> HYPERLINK \l _Toc786 </w:instrText>
      </w:r>
      <w:r>
        <w:rPr>
          <w:highlight w:val="none"/>
        </w:rPr>
        <w:fldChar w:fldCharType="separate"/>
      </w:r>
      <w:r>
        <w:rPr>
          <w:rFonts w:ascii="宋体" w:hAnsi="宋体" w:eastAsia="宋体" w:cs="宋体"/>
          <w:bCs/>
          <w:highlight w:val="none"/>
        </w:rPr>
        <w:t>(</w:t>
      </w:r>
      <w:r>
        <w:rPr>
          <w:rFonts w:hint="eastAsia" w:ascii="宋体" w:hAnsi="宋体" w:eastAsia="宋体" w:cs="宋体"/>
          <w:bCs/>
          <w:highlight w:val="none"/>
          <w:lang w:val="en-US" w:eastAsia="zh-CN"/>
        </w:rPr>
        <w:t>七</w:t>
      </w:r>
      <w:r>
        <w:rPr>
          <w:rFonts w:ascii="宋体" w:hAnsi="宋体" w:eastAsia="宋体" w:cs="宋体"/>
          <w:bCs/>
          <w:highlight w:val="none"/>
        </w:rPr>
        <w:t>)</w:t>
      </w:r>
      <w:r>
        <w:rPr>
          <w:rFonts w:hint="eastAsia" w:ascii="宋体" w:hAnsi="宋体" w:eastAsia="宋体" w:cs="宋体"/>
          <w:bCs/>
          <w:highlight w:val="none"/>
          <w:lang w:val="en-US" w:eastAsia="zh-CN"/>
        </w:rPr>
        <w:t>最后</w:t>
      </w:r>
      <w:r>
        <w:rPr>
          <w:rFonts w:ascii="宋体" w:hAnsi="宋体" w:eastAsia="宋体" w:cs="宋体"/>
          <w:bCs/>
          <w:highlight w:val="none"/>
        </w:rPr>
        <w:t>报价一览表</w:t>
      </w:r>
      <w:r>
        <w:rPr>
          <w:highlight w:val="none"/>
        </w:rPr>
        <w:tab/>
      </w:r>
      <w:r>
        <w:rPr>
          <w:highlight w:val="none"/>
        </w:rPr>
        <w:fldChar w:fldCharType="begin"/>
      </w:r>
      <w:r>
        <w:rPr>
          <w:highlight w:val="none"/>
        </w:rPr>
        <w:instrText xml:space="preserve"> PAGEREF _Toc786 \h </w:instrText>
      </w:r>
      <w:r>
        <w:rPr>
          <w:highlight w:val="none"/>
        </w:rPr>
        <w:fldChar w:fldCharType="separate"/>
      </w:r>
      <w:r>
        <w:rPr>
          <w:highlight w:val="none"/>
        </w:rPr>
        <w:t>82</w:t>
      </w:r>
      <w:r>
        <w:rPr>
          <w:highlight w:val="none"/>
        </w:rPr>
        <w:fldChar w:fldCharType="end"/>
      </w:r>
      <w:r>
        <w:rPr>
          <w:highlight w:val="none"/>
        </w:rPr>
        <w:fldChar w:fldCharType="end"/>
      </w:r>
    </w:p>
    <w:p w14:paraId="3B9AB167">
      <w:pPr>
        <w:pStyle w:val="210"/>
        <w:tabs>
          <w:tab w:val="right" w:leader="dot" w:pos="9366"/>
        </w:tabs>
        <w:rPr>
          <w:highlight w:val="none"/>
        </w:rPr>
      </w:pPr>
      <w:r>
        <w:rPr>
          <w:highlight w:val="none"/>
        </w:rPr>
        <w:fldChar w:fldCharType="begin"/>
      </w:r>
      <w:r>
        <w:rPr>
          <w:highlight w:val="none"/>
        </w:rPr>
        <w:instrText xml:space="preserve"> HYPERLINK \l _Toc5962 </w:instrText>
      </w:r>
      <w:r>
        <w:rPr>
          <w:highlight w:val="none"/>
        </w:rPr>
        <w:fldChar w:fldCharType="separate"/>
      </w:r>
      <w:r>
        <w:rPr>
          <w:rFonts w:ascii="宋体" w:hAnsi="宋体" w:eastAsia="宋体" w:cs="宋体"/>
          <w:bCs/>
          <w:highlight w:val="none"/>
        </w:rPr>
        <w:t>(</w:t>
      </w:r>
      <w:r>
        <w:rPr>
          <w:rFonts w:hint="eastAsia" w:ascii="宋体" w:hAnsi="宋体" w:eastAsia="宋体" w:cs="宋体"/>
          <w:bCs/>
          <w:highlight w:val="none"/>
          <w:lang w:val="en-US" w:eastAsia="zh-CN"/>
        </w:rPr>
        <w:t>八</w:t>
      </w:r>
      <w:r>
        <w:rPr>
          <w:rFonts w:ascii="宋体" w:hAnsi="宋体" w:eastAsia="宋体" w:cs="宋体"/>
          <w:bCs/>
          <w:highlight w:val="none"/>
        </w:rPr>
        <w:t>)</w:t>
      </w:r>
      <w:r>
        <w:rPr>
          <w:rFonts w:hint="eastAsia" w:ascii="宋体" w:hAnsi="宋体" w:eastAsia="宋体" w:cs="宋体"/>
          <w:bCs/>
          <w:highlight w:val="none"/>
          <w:lang w:val="en-US" w:eastAsia="zh-CN"/>
        </w:rPr>
        <w:t>最后</w:t>
      </w:r>
      <w:r>
        <w:rPr>
          <w:rFonts w:ascii="宋体" w:hAnsi="宋体" w:eastAsia="宋体" w:cs="宋体"/>
          <w:bCs/>
          <w:highlight w:val="none"/>
        </w:rPr>
        <w:t>明细报价表</w:t>
      </w:r>
      <w:r>
        <w:rPr>
          <w:highlight w:val="none"/>
        </w:rPr>
        <w:tab/>
      </w:r>
      <w:r>
        <w:rPr>
          <w:highlight w:val="none"/>
        </w:rPr>
        <w:fldChar w:fldCharType="begin"/>
      </w:r>
      <w:r>
        <w:rPr>
          <w:highlight w:val="none"/>
        </w:rPr>
        <w:instrText xml:space="preserve"> PAGEREF _Toc5962 \h </w:instrText>
      </w:r>
      <w:r>
        <w:rPr>
          <w:highlight w:val="none"/>
        </w:rPr>
        <w:fldChar w:fldCharType="separate"/>
      </w:r>
      <w:r>
        <w:rPr>
          <w:highlight w:val="none"/>
        </w:rPr>
        <w:t>83</w:t>
      </w:r>
      <w:r>
        <w:rPr>
          <w:highlight w:val="none"/>
        </w:rPr>
        <w:fldChar w:fldCharType="end"/>
      </w:r>
      <w:r>
        <w:rPr>
          <w:highlight w:val="none"/>
        </w:rPr>
        <w:fldChar w:fldCharType="end"/>
      </w:r>
    </w:p>
    <w:p w14:paraId="61414D55">
      <w:pPr>
        <w:pStyle w:val="229"/>
        <w:tabs>
          <w:tab w:val="right" w:leader="dot" w:pos="9366"/>
        </w:tabs>
        <w:rPr>
          <w:highlight w:val="none"/>
        </w:rPr>
      </w:pPr>
      <w:r>
        <w:rPr>
          <w:highlight w:val="none"/>
        </w:rPr>
        <w:fldChar w:fldCharType="begin"/>
      </w:r>
      <w:r>
        <w:rPr>
          <w:highlight w:val="none"/>
        </w:rPr>
        <w:instrText xml:space="preserve"> HYPERLINK \l _Toc27863 </w:instrText>
      </w:r>
      <w:r>
        <w:rPr>
          <w:highlight w:val="none"/>
        </w:rPr>
        <w:fldChar w:fldCharType="separate"/>
      </w:r>
      <w:r>
        <w:rPr>
          <w:rFonts w:ascii="宋体" w:hAnsi="宋体" w:eastAsia="宋体" w:cs="宋体"/>
          <w:bCs/>
          <w:highlight w:val="none"/>
        </w:rPr>
        <w:t>四、</w:t>
      </w:r>
      <w:r>
        <w:rPr>
          <w:rFonts w:hint="eastAsia" w:ascii="宋体" w:hAnsi="宋体" w:eastAsia="宋体" w:cs="宋体"/>
          <w:bCs/>
          <w:highlight w:val="none"/>
        </w:rPr>
        <w:t>按磋商文件要求供应商所能提供的其他文件</w:t>
      </w:r>
      <w:r>
        <w:rPr>
          <w:highlight w:val="none"/>
        </w:rPr>
        <w:tab/>
      </w:r>
      <w:r>
        <w:rPr>
          <w:highlight w:val="none"/>
        </w:rPr>
        <w:fldChar w:fldCharType="begin"/>
      </w:r>
      <w:r>
        <w:rPr>
          <w:highlight w:val="none"/>
        </w:rPr>
        <w:instrText xml:space="preserve"> PAGEREF _Toc27863 \h </w:instrText>
      </w:r>
      <w:r>
        <w:rPr>
          <w:highlight w:val="none"/>
        </w:rPr>
        <w:fldChar w:fldCharType="separate"/>
      </w:r>
      <w:r>
        <w:rPr>
          <w:highlight w:val="none"/>
        </w:rPr>
        <w:t>85</w:t>
      </w:r>
      <w:r>
        <w:rPr>
          <w:highlight w:val="none"/>
        </w:rPr>
        <w:fldChar w:fldCharType="end"/>
      </w:r>
      <w:r>
        <w:rPr>
          <w:highlight w:val="none"/>
        </w:rPr>
        <w:fldChar w:fldCharType="end"/>
      </w:r>
    </w:p>
    <w:p w14:paraId="08A135E0">
      <w:pPr>
        <w:rPr>
          <w:highlight w:val="none"/>
        </w:rPr>
      </w:pPr>
      <w:r>
        <w:rPr>
          <w:highlight w:val="none"/>
        </w:rPr>
        <w:fldChar w:fldCharType="end"/>
      </w:r>
      <w:r>
        <w:rPr>
          <w:highlight w:val="none"/>
        </w:rPr>
        <w:br w:type="page" w:clear="all"/>
      </w:r>
    </w:p>
    <w:p w14:paraId="25AF22D9">
      <w:pPr>
        <w:pStyle w:val="187"/>
        <w:jc w:val="center"/>
        <w:rPr>
          <w:rFonts w:hint="eastAsia" w:ascii="宋体" w:hAnsi="宋体"/>
          <w:color w:val="000000"/>
          <w:sz w:val="36"/>
          <w:highlight w:val="none"/>
        </w:rPr>
      </w:pPr>
      <w:bookmarkStart w:id="4" w:name="_Toc73364843"/>
      <w:bookmarkStart w:id="5" w:name="_Toc73365456"/>
      <w:bookmarkStart w:id="6" w:name="_Toc1038"/>
      <w:r>
        <w:rPr>
          <w:rFonts w:hint="eastAsia" w:ascii="宋体" w:hAnsi="宋体"/>
          <w:color w:val="000000"/>
          <w:sz w:val="36"/>
          <w:highlight w:val="none"/>
        </w:rPr>
        <w:t>第一部分  磋商邀请</w:t>
      </w:r>
      <w:bookmarkEnd w:id="4"/>
      <w:bookmarkEnd w:id="5"/>
      <w:bookmarkEnd w:id="6"/>
    </w:p>
    <w:p w14:paraId="61449212">
      <w:pPr>
        <w:rPr>
          <w:highlight w:val="none"/>
        </w:rPr>
      </w:pPr>
      <w:bookmarkStart w:id="7" w:name="EB90a90c36211a4db3a2108a4f75c8af65"/>
      <w:r>
        <w:rPr>
          <w:rFonts w:hint="eastAsia"/>
          <w:color w:val="000080"/>
          <w:sz w:val="20"/>
          <w:highlight w:val="none"/>
        </w:rPr>
        <w:t xml:space="preserve"> </w:t>
      </w:r>
      <w:bookmarkEnd w:id="7"/>
      <w:bookmarkStart w:id="8" w:name="EBb19c9a8f63314b7a8160b48722b227e9"/>
      <w:r>
        <w:rPr>
          <w:rFonts w:hint="eastAsia"/>
          <w:color w:val="000080"/>
          <w:sz w:val="20"/>
          <w:highlight w:val="none"/>
        </w:rPr>
        <w:t xml:space="preserve"> </w:t>
      </w:r>
      <w:bookmarkEnd w:id="8"/>
    </w:p>
    <w:p w14:paraId="3542180F">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项目概况</w:t>
      </w:r>
    </w:p>
    <w:p w14:paraId="459D02FF">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sz w:val="24"/>
          <w:szCs w:val="28"/>
          <w:highlight w:val="none"/>
          <w:u w:val="single"/>
        </w:rPr>
      </w:pPr>
      <w:r>
        <w:rPr>
          <w:rFonts w:hint="eastAsia"/>
          <w:sz w:val="24"/>
          <w:szCs w:val="28"/>
          <w:highlight w:val="none"/>
          <w:lang w:eastAsia="zh-CN"/>
        </w:rPr>
        <w:t>丹阳市人民医院高压配电房及10KV高压专线（双路）运维服务项目</w:t>
      </w:r>
      <w:r>
        <w:rPr>
          <w:rFonts w:hint="eastAsia" w:ascii="宋体" w:hAnsi="宋体"/>
          <w:sz w:val="24"/>
          <w:szCs w:val="28"/>
          <w:highlight w:val="none"/>
        </w:rPr>
        <w:t>的潜在供应商应在</w:t>
      </w:r>
      <w:r>
        <w:rPr>
          <w:rFonts w:hint="eastAsia" w:ascii="宋体" w:hAnsi="宋体"/>
          <w:sz w:val="24"/>
          <w:szCs w:val="28"/>
          <w:highlight w:val="none"/>
          <w:u w:val="single"/>
        </w:rPr>
        <w:t>江苏政府采购网-苏采云</w:t>
      </w:r>
      <w:r>
        <w:rPr>
          <w:rFonts w:hint="eastAsia" w:ascii="宋体" w:hAnsi="宋体"/>
          <w:sz w:val="24"/>
          <w:szCs w:val="24"/>
          <w:highlight w:val="none"/>
          <w:u w:val="single"/>
        </w:rPr>
        <w:t>http://jszfcg.jscz.gov.cn/jszc/login</w:t>
      </w:r>
      <w:r>
        <w:rPr>
          <w:rFonts w:hint="eastAsia" w:ascii="宋体" w:hAnsi="宋体"/>
          <w:sz w:val="24"/>
          <w:szCs w:val="28"/>
          <w:highlight w:val="none"/>
        </w:rPr>
        <w:t>获取磋商文件，并于</w:t>
      </w:r>
      <w:bookmarkStart w:id="9" w:name="EB73defe534a9b4a0a8edae1c30ee903e0"/>
      <w:r>
        <w:rPr>
          <w:rFonts w:hint="eastAsia" w:ascii="宋体" w:hAnsi="宋体"/>
          <w:sz w:val="24"/>
          <w:szCs w:val="28"/>
          <w:highlight w:val="none"/>
          <w:lang w:eastAsia="zh-CN"/>
        </w:rPr>
        <w:t>202</w:t>
      </w:r>
      <w:r>
        <w:rPr>
          <w:rFonts w:hint="eastAsia" w:ascii="宋体" w:hAnsi="宋体"/>
          <w:sz w:val="24"/>
          <w:szCs w:val="28"/>
          <w:highlight w:val="none"/>
          <w:lang w:val="en-US" w:eastAsia="zh-CN"/>
        </w:rPr>
        <w:t>5</w:t>
      </w:r>
      <w:r>
        <w:rPr>
          <w:rFonts w:hint="eastAsia" w:ascii="宋体" w:hAnsi="宋体"/>
          <w:sz w:val="24"/>
          <w:szCs w:val="28"/>
          <w:highlight w:val="none"/>
        </w:rPr>
        <w:t>年</w:t>
      </w:r>
      <w:r>
        <w:rPr>
          <w:rFonts w:hint="eastAsia"/>
          <w:sz w:val="24"/>
          <w:szCs w:val="28"/>
          <w:highlight w:val="none"/>
          <w:lang w:val="en-US" w:eastAsia="zh-CN"/>
        </w:rPr>
        <w:t>12</w:t>
      </w:r>
      <w:r>
        <w:rPr>
          <w:rFonts w:hint="eastAsia" w:ascii="宋体" w:hAnsi="宋体"/>
          <w:sz w:val="24"/>
          <w:szCs w:val="28"/>
          <w:highlight w:val="none"/>
        </w:rPr>
        <w:t>月</w:t>
      </w:r>
      <w:r>
        <w:rPr>
          <w:rFonts w:hint="eastAsia"/>
          <w:sz w:val="24"/>
          <w:szCs w:val="28"/>
          <w:highlight w:val="none"/>
          <w:lang w:val="en-US" w:eastAsia="zh-CN"/>
        </w:rPr>
        <w:t>09</w:t>
      </w:r>
      <w:r>
        <w:rPr>
          <w:rFonts w:hint="eastAsia" w:ascii="宋体" w:hAnsi="宋体"/>
          <w:sz w:val="24"/>
          <w:szCs w:val="28"/>
          <w:highlight w:val="none"/>
        </w:rPr>
        <w:t>日 09:30</w:t>
      </w:r>
      <w:bookmarkEnd w:id="9"/>
      <w:r>
        <w:rPr>
          <w:rFonts w:hint="eastAsia" w:ascii="宋体" w:hAnsi="宋体"/>
          <w:sz w:val="24"/>
          <w:szCs w:val="28"/>
          <w:highlight w:val="none"/>
        </w:rPr>
        <w:t>（</w:t>
      </w:r>
      <w:r>
        <w:rPr>
          <w:rFonts w:hint="eastAsia" w:ascii="宋体" w:hAnsi="宋体"/>
          <w:bCs/>
          <w:sz w:val="24"/>
          <w:szCs w:val="28"/>
          <w:highlight w:val="none"/>
        </w:rPr>
        <w:t>北京时间）前递交响应文件</w:t>
      </w:r>
      <w:r>
        <w:rPr>
          <w:rFonts w:hint="eastAsia" w:ascii="宋体" w:hAnsi="宋体"/>
          <w:sz w:val="24"/>
          <w:szCs w:val="28"/>
          <w:highlight w:val="none"/>
        </w:rPr>
        <w:t>。</w:t>
      </w:r>
    </w:p>
    <w:p w14:paraId="4C1F2C14">
      <w:pPr>
        <w:pStyle w:val="188"/>
        <w:spacing w:line="240" w:lineRule="auto"/>
        <w:jc w:val="left"/>
        <w:rPr>
          <w:rFonts w:ascii="宋体" w:hAnsi="宋体" w:eastAsia="宋体"/>
          <w:b w:val="0"/>
          <w:highlight w:val="none"/>
        </w:rPr>
      </w:pPr>
      <w:bookmarkStart w:id="10" w:name="_Toc73365457"/>
      <w:bookmarkStart w:id="11" w:name="_Toc8196"/>
      <w:bookmarkStart w:id="12" w:name="_Toc73364844"/>
      <w:r>
        <w:rPr>
          <w:rFonts w:hint="eastAsia" w:ascii="宋体" w:hAnsi="宋体" w:eastAsia="宋体"/>
          <w:b w:val="0"/>
          <w:highlight w:val="none"/>
        </w:rPr>
        <w:t>一、项目基本情况</w:t>
      </w:r>
      <w:bookmarkEnd w:id="10"/>
      <w:bookmarkEnd w:id="11"/>
      <w:bookmarkEnd w:id="12"/>
    </w:p>
    <w:p w14:paraId="27D88B12">
      <w:pPr>
        <w:spacing w:line="240" w:lineRule="auto"/>
        <w:ind w:firstLine="480"/>
        <w:rPr>
          <w:rFonts w:hint="eastAsia" w:ascii="宋体" w:hAnsi="宋体"/>
          <w:sz w:val="24"/>
          <w:szCs w:val="28"/>
          <w:highlight w:val="none"/>
          <w:lang w:val="en-US" w:eastAsia="zh-CN"/>
        </w:rPr>
      </w:pPr>
      <w:r>
        <w:rPr>
          <w:rFonts w:hint="eastAsia" w:ascii="宋体" w:hAnsi="宋体"/>
          <w:sz w:val="24"/>
          <w:szCs w:val="28"/>
          <w:highlight w:val="none"/>
          <w:lang w:eastAsia="zh-CN"/>
        </w:rPr>
        <w:t>项目编号：</w:t>
      </w:r>
      <w:r>
        <w:rPr>
          <w:rFonts w:hint="eastAsia"/>
          <w:sz w:val="24"/>
          <w:szCs w:val="28"/>
          <w:highlight w:val="none"/>
          <w:lang w:eastAsia="zh-CN"/>
        </w:rPr>
        <w:t>JSZC-321181-ZDDL-C2025-0015</w:t>
      </w:r>
      <w:r>
        <w:rPr>
          <w:rFonts w:hint="eastAsia" w:ascii="宋体" w:hAnsi="宋体"/>
          <w:sz w:val="24"/>
          <w:szCs w:val="28"/>
          <w:highlight w:val="none"/>
          <w:lang w:val="en-US" w:eastAsia="zh-CN"/>
        </w:rPr>
        <w:t xml:space="preserve"> </w:t>
      </w:r>
    </w:p>
    <w:p w14:paraId="015A0F8B">
      <w:pPr>
        <w:spacing w:line="240" w:lineRule="auto"/>
        <w:ind w:firstLine="480"/>
        <w:rPr>
          <w:rFonts w:hint="eastAsia" w:ascii="宋体" w:hAnsi="宋体" w:eastAsia="宋体"/>
          <w:sz w:val="24"/>
          <w:szCs w:val="28"/>
          <w:highlight w:val="none"/>
          <w:lang w:eastAsia="zh-CN"/>
        </w:rPr>
      </w:pPr>
      <w:r>
        <w:rPr>
          <w:rFonts w:hint="eastAsia" w:ascii="宋体" w:hAnsi="宋体"/>
          <w:sz w:val="24"/>
          <w:szCs w:val="28"/>
          <w:highlight w:val="none"/>
        </w:rPr>
        <w:t>项目名称：</w:t>
      </w:r>
      <w:r>
        <w:rPr>
          <w:rFonts w:hint="eastAsia"/>
          <w:sz w:val="24"/>
          <w:szCs w:val="28"/>
          <w:highlight w:val="none"/>
          <w:lang w:eastAsia="zh-CN"/>
        </w:rPr>
        <w:t>丹阳市人民医院高压配电房及10KV高压专线（双路）运维服务项目</w:t>
      </w:r>
    </w:p>
    <w:p w14:paraId="2F467381">
      <w:pPr>
        <w:spacing w:line="240" w:lineRule="auto"/>
        <w:ind w:firstLine="480"/>
        <w:rPr>
          <w:rFonts w:ascii="宋体" w:hAnsi="宋体"/>
          <w:sz w:val="24"/>
          <w:szCs w:val="28"/>
          <w:highlight w:val="none"/>
        </w:rPr>
      </w:pPr>
      <w:r>
        <w:rPr>
          <w:rFonts w:hint="eastAsia" w:ascii="宋体" w:hAnsi="宋体"/>
          <w:sz w:val="24"/>
          <w:szCs w:val="28"/>
          <w:highlight w:val="none"/>
        </w:rPr>
        <w:t>预算金额：</w:t>
      </w:r>
      <w:r>
        <w:rPr>
          <w:rFonts w:hint="eastAsia" w:ascii="宋体" w:hAnsi="宋体"/>
          <w:sz w:val="24"/>
          <w:szCs w:val="28"/>
          <w:highlight w:val="none"/>
          <w:lang w:val="en-US" w:eastAsia="zh-CN"/>
        </w:rPr>
        <w:t xml:space="preserve">146.4万元 </w:t>
      </w:r>
    </w:p>
    <w:p w14:paraId="296C9F39">
      <w:pPr>
        <w:spacing w:line="240" w:lineRule="auto"/>
        <w:ind w:firstLine="480"/>
        <w:rPr>
          <w:rFonts w:hint="eastAsia" w:ascii="宋体" w:hAnsi="宋体"/>
          <w:sz w:val="24"/>
          <w:szCs w:val="28"/>
          <w:highlight w:val="none"/>
        </w:rPr>
      </w:pPr>
      <w:r>
        <w:rPr>
          <w:rFonts w:hint="eastAsia" w:ascii="宋体" w:hAnsi="宋体"/>
          <w:sz w:val="24"/>
          <w:szCs w:val="28"/>
          <w:highlight w:val="none"/>
        </w:rPr>
        <w:t>最高限价：</w:t>
      </w:r>
      <w:r>
        <w:rPr>
          <w:rFonts w:hint="eastAsia" w:ascii="宋体" w:hAnsi="宋体"/>
          <w:sz w:val="24"/>
          <w:szCs w:val="28"/>
          <w:highlight w:val="none"/>
          <w:lang w:val="en-US" w:eastAsia="zh-CN"/>
        </w:rPr>
        <w:t>146.4万元</w:t>
      </w:r>
    </w:p>
    <w:p w14:paraId="1F7CEAC4">
      <w:pPr>
        <w:spacing w:line="240" w:lineRule="auto"/>
        <w:ind w:firstLine="400"/>
        <w:rPr>
          <w:rFonts w:hint="eastAsia" w:ascii="宋体" w:hAnsi="宋体" w:eastAsia="宋体" w:cs="Times New Roman"/>
          <w:sz w:val="24"/>
          <w:szCs w:val="28"/>
          <w:highlight w:val="none"/>
        </w:rPr>
      </w:pPr>
      <w:bookmarkStart w:id="13" w:name="EB561a2394c1544fb48623feaf98445ca1"/>
      <w:r>
        <w:rPr>
          <w:rFonts w:hint="eastAsia"/>
          <w:sz w:val="20"/>
          <w:highlight w:val="none"/>
        </w:rPr>
        <w:t xml:space="preserve"> </w:t>
      </w:r>
      <w:bookmarkEnd w:id="13"/>
      <w:r>
        <w:rPr>
          <w:rFonts w:hint="eastAsia" w:ascii="宋体" w:hAnsi="宋体" w:eastAsia="宋体" w:cs="Times New Roman"/>
          <w:sz w:val="24"/>
          <w:szCs w:val="28"/>
          <w:highlight w:val="none"/>
        </w:rPr>
        <w:t>采购需求：</w:t>
      </w:r>
      <w:bookmarkStart w:id="14" w:name="EB5d98601673ee4dabb6909c42181f9c92"/>
      <w:r>
        <w:rPr>
          <w:rFonts w:hint="eastAsia" w:ascii="宋体" w:hAnsi="宋体" w:eastAsia="宋体" w:cs="Times New Roman"/>
          <w:sz w:val="24"/>
          <w:szCs w:val="28"/>
          <w:highlight w:val="none"/>
        </w:rPr>
        <w:t>具体内容及要求详见本</w:t>
      </w:r>
      <w:r>
        <w:rPr>
          <w:rFonts w:hint="eastAsia" w:ascii="宋体" w:hAnsi="宋体" w:eastAsia="宋体" w:cs="Times New Roman"/>
          <w:sz w:val="24"/>
          <w:szCs w:val="28"/>
          <w:highlight w:val="none"/>
          <w:lang w:val="en-US" w:eastAsia="zh-CN"/>
        </w:rPr>
        <w:t>磋商</w:t>
      </w:r>
      <w:r>
        <w:rPr>
          <w:rFonts w:hint="eastAsia" w:ascii="宋体" w:hAnsi="宋体" w:eastAsia="宋体" w:cs="Times New Roman"/>
          <w:sz w:val="24"/>
          <w:szCs w:val="28"/>
          <w:highlight w:val="none"/>
        </w:rPr>
        <w:t>文件第四部分</w:t>
      </w:r>
      <w:r>
        <w:rPr>
          <w:rFonts w:hint="eastAsia" w:ascii="宋体" w:hAnsi="宋体" w:eastAsia="宋体" w:cs="Times New Roman"/>
          <w:sz w:val="24"/>
          <w:szCs w:val="28"/>
          <w:highlight w:val="none"/>
          <w:lang w:eastAsia="zh-CN"/>
        </w:rPr>
        <w:t>。</w:t>
      </w:r>
      <w:bookmarkEnd w:id="14"/>
      <w:bookmarkStart w:id="15" w:name="EBe46f2acd23264f31909e1f2cbfc9f572"/>
    </w:p>
    <w:bookmarkEnd w:id="15"/>
    <w:p w14:paraId="329FBDD2">
      <w:pPr>
        <w:spacing w:line="240" w:lineRule="auto"/>
        <w:ind w:firstLine="480"/>
        <w:rPr>
          <w:rFonts w:hint="eastAsia" w:ascii="宋体" w:hAnsi="宋体" w:eastAsia="宋体" w:cs="Times New Roman"/>
          <w:sz w:val="24"/>
          <w:szCs w:val="28"/>
          <w:highlight w:val="none"/>
        </w:rPr>
      </w:pPr>
      <w:r>
        <w:rPr>
          <w:rFonts w:hint="eastAsia" w:ascii="宋体" w:hAnsi="宋体" w:eastAsia="宋体" w:cs="Times New Roman"/>
          <w:sz w:val="24"/>
          <w:szCs w:val="28"/>
          <w:highlight w:val="none"/>
        </w:rPr>
        <w:t>合同履行期限：</w:t>
      </w:r>
      <w:bookmarkStart w:id="16" w:name="EBa07d69da46b1409fa8b8bfb317275bdc"/>
      <w:r>
        <w:rPr>
          <w:rFonts w:hint="eastAsia" w:ascii="宋体" w:hAnsi="宋体" w:eastAsia="宋体" w:cs="Times New Roman"/>
          <w:sz w:val="24"/>
          <w:szCs w:val="28"/>
          <w:highlight w:val="none"/>
        </w:rPr>
        <w:t>具体内容及要求详见本</w:t>
      </w:r>
      <w:r>
        <w:rPr>
          <w:rFonts w:hint="eastAsia" w:ascii="宋体" w:hAnsi="宋体" w:eastAsia="宋体" w:cs="Times New Roman"/>
          <w:sz w:val="24"/>
          <w:szCs w:val="28"/>
          <w:highlight w:val="none"/>
          <w:lang w:val="en-US" w:eastAsia="zh-CN"/>
        </w:rPr>
        <w:t>磋商</w:t>
      </w:r>
      <w:r>
        <w:rPr>
          <w:rFonts w:hint="eastAsia" w:ascii="宋体" w:hAnsi="宋体" w:eastAsia="宋体" w:cs="Times New Roman"/>
          <w:sz w:val="24"/>
          <w:szCs w:val="28"/>
          <w:highlight w:val="none"/>
        </w:rPr>
        <w:t>文件第四部分。</w:t>
      </w:r>
      <w:bookmarkEnd w:id="16"/>
    </w:p>
    <w:p w14:paraId="2082D928">
      <w:pPr>
        <w:spacing w:line="240" w:lineRule="auto"/>
        <w:ind w:firstLine="480"/>
        <w:rPr>
          <w:highlight w:val="none"/>
        </w:rPr>
      </w:pPr>
      <w:r>
        <w:rPr>
          <w:rFonts w:hint="eastAsia" w:ascii="宋体" w:hAnsi="宋体"/>
          <w:sz w:val="24"/>
          <w:highlight w:val="none"/>
        </w:rPr>
        <w:t>本项目是否接受联合体：</w:t>
      </w:r>
      <w:bookmarkStart w:id="17" w:name="EB10ed88b2863c4a4d8a5bde968ff8befb"/>
      <w:r>
        <w:rPr>
          <w:rFonts w:ascii="宋体" w:hAnsi="宋体"/>
          <w:sz w:val="20"/>
          <w:highlight w:val="none"/>
        </w:rPr>
        <w:t xml:space="preserve"> </w:t>
      </w:r>
      <w:bookmarkEnd w:id="17"/>
      <w:bookmarkStart w:id="18" w:name="EBbc5609f4c2b64d0b94a18a3338adb1b6"/>
      <w:r>
        <w:rPr>
          <w:rFonts w:hint="eastAsia" w:ascii="宋体" w:hAnsi="宋体"/>
          <w:sz w:val="24"/>
          <w:highlight w:val="none"/>
        </w:rPr>
        <w:t>☑</w:t>
      </w:r>
      <w:bookmarkEnd w:id="18"/>
      <w:r>
        <w:rPr>
          <w:rFonts w:hint="eastAsia" w:ascii="宋体" w:hAnsi="宋体"/>
          <w:sz w:val="24"/>
          <w:szCs w:val="28"/>
          <w:highlight w:val="none"/>
        </w:rPr>
        <w:t>不接受</w:t>
      </w:r>
      <w:bookmarkStart w:id="19" w:name="EB85b2e39ba7d546c49ea4d24be10d3b59"/>
      <w:r>
        <w:rPr>
          <w:rFonts w:ascii="宋体" w:hAnsi="宋体"/>
          <w:sz w:val="20"/>
          <w:szCs w:val="28"/>
          <w:highlight w:val="none"/>
        </w:rPr>
        <w:t xml:space="preserve"> </w:t>
      </w:r>
      <w:bookmarkEnd w:id="19"/>
      <w:bookmarkStart w:id="20" w:name="EB9c6a1e24de2b467eb2f6b6705355f67c"/>
      <w:r>
        <w:rPr>
          <w:rFonts w:ascii="宋体" w:hAnsi="宋体"/>
          <w:sz w:val="20"/>
          <w:szCs w:val="28"/>
          <w:highlight w:val="none"/>
        </w:rPr>
        <w:t xml:space="preserve"> </w:t>
      </w:r>
      <w:bookmarkEnd w:id="20"/>
      <w:bookmarkStart w:id="21" w:name="EB384e97fc9b0b4058ab4fbc9a119ec4c8"/>
      <w:r>
        <w:rPr>
          <w:rFonts w:ascii="宋体" w:hAnsi="宋体"/>
          <w:sz w:val="20"/>
          <w:highlight w:val="none"/>
        </w:rPr>
        <w:t xml:space="preserve"> </w:t>
      </w:r>
      <w:bookmarkEnd w:id="21"/>
    </w:p>
    <w:p w14:paraId="208E0359">
      <w:pPr>
        <w:spacing w:line="240" w:lineRule="auto"/>
        <w:ind w:firstLine="480"/>
        <w:rPr>
          <w:rFonts w:ascii="宋体" w:hAnsi="宋体"/>
          <w:sz w:val="24"/>
          <w:szCs w:val="28"/>
          <w:highlight w:val="none"/>
        </w:rPr>
      </w:pPr>
      <w:r>
        <w:rPr>
          <w:rFonts w:hint="eastAsia" w:ascii="宋体" w:hAnsi="宋体"/>
          <w:sz w:val="24"/>
          <w:szCs w:val="28"/>
          <w:highlight w:val="none"/>
        </w:rPr>
        <w:t>本项目供应商邀请方式：</w:t>
      </w:r>
      <w:bookmarkStart w:id="22" w:name="EB4808d737793b46c3b9feac6e63a963d3"/>
      <w:r>
        <w:rPr>
          <w:rFonts w:hint="eastAsia" w:ascii="宋体" w:hAnsi="宋体"/>
          <w:sz w:val="24"/>
          <w:szCs w:val="28"/>
          <w:highlight w:val="none"/>
          <w:lang w:eastAsia="zh-CN"/>
        </w:rPr>
        <w:t>☑</w:t>
      </w:r>
      <w:r>
        <w:rPr>
          <w:rFonts w:hint="eastAsia" w:ascii="宋体" w:hAnsi="宋体"/>
          <w:sz w:val="24"/>
          <w:szCs w:val="28"/>
          <w:highlight w:val="none"/>
        </w:rPr>
        <w:t>发布公告</w:t>
      </w:r>
      <w:bookmarkEnd w:id="22"/>
      <w:bookmarkStart w:id="23" w:name="EB964786cd486348d089dad68155dbbaf0"/>
      <w:r>
        <w:rPr>
          <w:rFonts w:ascii="宋体" w:hAnsi="宋体"/>
          <w:sz w:val="20"/>
          <w:szCs w:val="28"/>
          <w:highlight w:val="none"/>
        </w:rPr>
        <w:t xml:space="preserve"> </w:t>
      </w:r>
      <w:bookmarkEnd w:id="23"/>
      <w:bookmarkStart w:id="24" w:name="EBd8f11baf8c5c48a39a68838346426e79"/>
      <w:r>
        <w:rPr>
          <w:rFonts w:ascii="宋体" w:hAnsi="宋体"/>
          <w:sz w:val="20"/>
          <w:szCs w:val="28"/>
          <w:highlight w:val="none"/>
        </w:rPr>
        <w:t xml:space="preserve"> </w:t>
      </w:r>
      <w:bookmarkEnd w:id="24"/>
    </w:p>
    <w:p w14:paraId="2C7A4508">
      <w:pPr>
        <w:spacing w:line="240" w:lineRule="auto"/>
        <w:ind w:firstLine="400"/>
        <w:rPr>
          <w:rFonts w:ascii="宋体" w:hAnsi="宋体"/>
          <w:sz w:val="24"/>
          <w:szCs w:val="28"/>
          <w:highlight w:val="none"/>
        </w:rPr>
      </w:pPr>
      <w:bookmarkStart w:id="25" w:name="EBdad48c7db91b43fdb751aa926db1352c"/>
      <w:r>
        <w:rPr>
          <w:rFonts w:ascii="宋体" w:hAnsi="宋体"/>
          <w:sz w:val="20"/>
          <w:szCs w:val="28"/>
          <w:highlight w:val="none"/>
        </w:rPr>
        <w:t xml:space="preserve"> </w:t>
      </w:r>
      <w:bookmarkEnd w:id="25"/>
      <w:r>
        <w:rPr>
          <w:rFonts w:hint="eastAsia" w:ascii="宋体" w:hAnsi="宋体"/>
          <w:sz w:val="24"/>
          <w:szCs w:val="28"/>
          <w:highlight w:val="none"/>
        </w:rPr>
        <w:t>本次采购确定的成交供应商数量：</w:t>
      </w:r>
      <w:bookmarkStart w:id="26" w:name="EB5c24124ec8a5472f86d055936d89b2d9"/>
      <w:r>
        <w:rPr>
          <w:rFonts w:hint="eastAsia" w:ascii="宋体" w:hAnsi="宋体"/>
          <w:sz w:val="24"/>
          <w:szCs w:val="28"/>
          <w:highlight w:val="none"/>
        </w:rPr>
        <w:t>1名</w:t>
      </w:r>
      <w:bookmarkEnd w:id="26"/>
      <w:r>
        <w:rPr>
          <w:rFonts w:ascii="宋体" w:hAnsi="宋体"/>
          <w:sz w:val="24"/>
          <w:szCs w:val="28"/>
          <w:highlight w:val="none"/>
        </w:rPr>
        <w:t xml:space="preserve"> </w:t>
      </w:r>
    </w:p>
    <w:p w14:paraId="582292D6">
      <w:pPr>
        <w:pStyle w:val="188"/>
        <w:spacing w:line="240" w:lineRule="auto"/>
        <w:jc w:val="left"/>
        <w:rPr>
          <w:rFonts w:ascii="宋体" w:hAnsi="宋体" w:eastAsia="宋体"/>
          <w:b w:val="0"/>
          <w:highlight w:val="none"/>
        </w:rPr>
      </w:pPr>
      <w:bookmarkStart w:id="27" w:name="_Toc73364845"/>
      <w:bookmarkStart w:id="28" w:name="_Toc73365458"/>
      <w:bookmarkStart w:id="29" w:name="_Toc25187"/>
      <w:r>
        <w:rPr>
          <w:rFonts w:hint="eastAsia" w:ascii="宋体" w:hAnsi="宋体" w:eastAsia="宋体"/>
          <w:b w:val="0"/>
          <w:highlight w:val="none"/>
        </w:rPr>
        <w:t>二、申请人的资格要求：</w:t>
      </w:r>
      <w:bookmarkEnd w:id="27"/>
      <w:bookmarkEnd w:id="28"/>
      <w:bookmarkEnd w:id="29"/>
    </w:p>
    <w:p w14:paraId="19BF084C">
      <w:pPr>
        <w:spacing w:line="240" w:lineRule="auto"/>
        <w:ind w:firstLine="480"/>
        <w:rPr>
          <w:rFonts w:hint="eastAsia" w:ascii="宋体" w:hAnsi="宋体"/>
          <w:sz w:val="24"/>
          <w:szCs w:val="28"/>
          <w:highlight w:val="none"/>
        </w:rPr>
      </w:pPr>
      <w:r>
        <w:rPr>
          <w:rFonts w:hint="eastAsia" w:ascii="宋体" w:hAnsi="宋体"/>
          <w:sz w:val="24"/>
          <w:szCs w:val="28"/>
          <w:highlight w:val="none"/>
        </w:rPr>
        <w:t>1. 满足《中华人民共和国政府采购法》第二十二条规定；</w:t>
      </w:r>
    </w:p>
    <w:p w14:paraId="5E4856A7">
      <w:pPr>
        <w:spacing w:line="440" w:lineRule="exact"/>
        <w:ind w:firstLine="480"/>
        <w:rPr>
          <w:rFonts w:ascii="宋体" w:hAnsi="宋体"/>
          <w:color w:val="000000"/>
          <w:sz w:val="24"/>
          <w:szCs w:val="28"/>
          <w:highlight w:val="none"/>
        </w:rPr>
      </w:pPr>
      <w:bookmarkStart w:id="30" w:name="EBc1bc06189b4a41ccac26e04e92f3d69f"/>
      <w:bookmarkStart w:id="31" w:name="_Hlk138178692"/>
      <w:r>
        <w:rPr>
          <w:rFonts w:hint="eastAsia" w:ascii="宋体" w:hAnsi="宋体"/>
          <w:color w:val="000000"/>
          <w:sz w:val="24"/>
          <w:szCs w:val="28"/>
          <w:highlight w:val="none"/>
        </w:rPr>
        <w:t>（1）具有独立承担民事责任的能力（提供法人或者其他组织的营业执照等证明文件扫描件；供应商为自然人的，提供其身份证扫描件）；</w:t>
      </w:r>
    </w:p>
    <w:p w14:paraId="0D2C4ADA">
      <w:pPr>
        <w:spacing w:line="440" w:lineRule="exact"/>
        <w:ind w:firstLine="456"/>
        <w:rPr>
          <w:rFonts w:hint="eastAsia" w:ascii="宋体" w:hAnsi="宋体"/>
          <w:color w:val="000000"/>
          <w:sz w:val="24"/>
          <w:szCs w:val="28"/>
          <w:highlight w:val="none"/>
        </w:rPr>
      </w:pPr>
      <w:r>
        <w:rPr>
          <w:rFonts w:hint="eastAsia" w:ascii="宋体" w:hAnsi="宋体" w:cs="宋体"/>
          <w:color w:val="000000"/>
          <w:spacing w:val="-6"/>
          <w:sz w:val="24"/>
          <w:szCs w:val="24"/>
          <w:highlight w:val="none"/>
        </w:rPr>
        <w:t>（2）</w:t>
      </w:r>
      <w:r>
        <w:rPr>
          <w:rFonts w:ascii="宋体" w:hAnsi="宋体" w:cs="宋体"/>
          <w:color w:val="000000"/>
          <w:spacing w:val="-6"/>
          <w:sz w:val="24"/>
          <w:szCs w:val="24"/>
          <w:highlight w:val="none"/>
        </w:rPr>
        <w:t>具有良好的商业信誉和健全的财务会计制度</w:t>
      </w:r>
      <w:r>
        <w:rPr>
          <w:rFonts w:hint="eastAsia" w:ascii="楷体" w:hAnsi="楷体" w:eastAsia="楷体"/>
          <w:color w:val="000000"/>
          <w:sz w:val="24"/>
          <w:szCs w:val="28"/>
          <w:highlight w:val="none"/>
        </w:rPr>
        <w:t>[</w:t>
      </w:r>
      <w:r>
        <w:rPr>
          <w:rFonts w:ascii="宋体" w:hAnsi="宋体" w:cs="宋体"/>
          <w:color w:val="000000"/>
          <w:spacing w:val="-6"/>
          <w:sz w:val="24"/>
          <w:szCs w:val="24"/>
          <w:highlight w:val="none"/>
        </w:rPr>
        <w:t>提供</w:t>
      </w:r>
      <w:r>
        <w:rPr>
          <w:rFonts w:hint="eastAsia" w:ascii="宋体" w:hAnsi="宋体" w:cs="宋体"/>
          <w:color w:val="000000"/>
          <w:spacing w:val="-6"/>
          <w:sz w:val="24"/>
          <w:szCs w:val="24"/>
          <w:highlight w:val="none"/>
        </w:rPr>
        <w:t>上一</w:t>
      </w:r>
      <w:r>
        <w:rPr>
          <w:rFonts w:ascii="宋体" w:hAnsi="宋体" w:cs="宋体"/>
          <w:color w:val="000000"/>
          <w:spacing w:val="-6"/>
          <w:sz w:val="24"/>
          <w:szCs w:val="24"/>
          <w:highlight w:val="none"/>
        </w:rPr>
        <w:t>年度</w:t>
      </w:r>
      <w:r>
        <w:rPr>
          <w:rFonts w:hint="eastAsia" w:ascii="宋体" w:hAnsi="宋体" w:cs="宋体"/>
          <w:color w:val="000000"/>
          <w:spacing w:val="-6"/>
          <w:sz w:val="24"/>
          <w:szCs w:val="24"/>
          <w:highlight w:val="none"/>
        </w:rPr>
        <w:t>财务报告、成立不满一年的提供至少一个月财务报告，或银行出具的资信证明，或财政部门认可的政府采购专业担保机构出具的投标担保函等，或资格承诺函（格式见第六部分）</w:t>
      </w:r>
      <w:r>
        <w:rPr>
          <w:rFonts w:hint="eastAsia" w:ascii="楷体" w:hAnsi="楷体" w:eastAsia="楷体"/>
          <w:color w:val="000000"/>
          <w:sz w:val="24"/>
          <w:szCs w:val="28"/>
          <w:highlight w:val="none"/>
        </w:rPr>
        <w:t>]</w:t>
      </w:r>
      <w:r>
        <w:rPr>
          <w:rFonts w:hint="eastAsia" w:ascii="宋体" w:hAnsi="宋体"/>
          <w:color w:val="000000"/>
          <w:sz w:val="24"/>
          <w:szCs w:val="28"/>
          <w:highlight w:val="none"/>
        </w:rPr>
        <w:t>；</w:t>
      </w:r>
    </w:p>
    <w:p w14:paraId="71BE43FC">
      <w:pPr>
        <w:spacing w:line="440" w:lineRule="exact"/>
        <w:ind w:firstLine="480"/>
        <w:rPr>
          <w:rFonts w:hint="eastAsia" w:ascii="宋体" w:hAnsi="宋体"/>
          <w:color w:val="000000"/>
          <w:sz w:val="24"/>
          <w:szCs w:val="28"/>
          <w:highlight w:val="none"/>
        </w:rPr>
      </w:pPr>
      <w:r>
        <w:rPr>
          <w:rFonts w:hint="eastAsia" w:ascii="宋体" w:hAnsi="宋体"/>
          <w:color w:val="000000"/>
          <w:sz w:val="24"/>
          <w:szCs w:val="28"/>
          <w:highlight w:val="none"/>
        </w:rPr>
        <w:t>（3）具有履行合同所必需的设备和专业技术能力</w:t>
      </w:r>
      <w:r>
        <w:rPr>
          <w:rFonts w:hint="eastAsia" w:ascii="楷体" w:hAnsi="楷体" w:eastAsia="楷体"/>
          <w:color w:val="000000"/>
          <w:sz w:val="24"/>
          <w:szCs w:val="28"/>
          <w:highlight w:val="none"/>
        </w:rPr>
        <w:t>[</w:t>
      </w:r>
      <w:r>
        <w:rPr>
          <w:rFonts w:hint="eastAsia" w:ascii="宋体" w:hAnsi="宋体"/>
          <w:color w:val="000000"/>
          <w:sz w:val="24"/>
          <w:szCs w:val="28"/>
          <w:highlight w:val="none"/>
        </w:rPr>
        <w:t>见供应商相关信息一览表或提供资格承诺函（格式</w:t>
      </w:r>
      <w:r>
        <w:rPr>
          <w:rFonts w:hint="eastAsia" w:ascii="宋体" w:hAnsi="宋体" w:cs="宋体"/>
          <w:color w:val="000000"/>
          <w:spacing w:val="-6"/>
          <w:sz w:val="24"/>
          <w:szCs w:val="24"/>
          <w:highlight w:val="none"/>
        </w:rPr>
        <w:t>见第六部分</w:t>
      </w:r>
      <w:r>
        <w:rPr>
          <w:rFonts w:hint="eastAsia" w:ascii="宋体" w:hAnsi="宋体"/>
          <w:color w:val="000000"/>
          <w:sz w:val="24"/>
          <w:szCs w:val="28"/>
          <w:highlight w:val="none"/>
        </w:rPr>
        <w:t>）</w:t>
      </w:r>
      <w:r>
        <w:rPr>
          <w:rFonts w:hint="eastAsia" w:ascii="楷体" w:hAnsi="楷体" w:eastAsia="楷体"/>
          <w:color w:val="000000"/>
          <w:sz w:val="24"/>
          <w:szCs w:val="28"/>
          <w:highlight w:val="none"/>
        </w:rPr>
        <w:t>]</w:t>
      </w:r>
      <w:r>
        <w:rPr>
          <w:rFonts w:hint="eastAsia" w:ascii="宋体" w:hAnsi="宋体"/>
          <w:color w:val="000000"/>
          <w:sz w:val="24"/>
          <w:szCs w:val="28"/>
          <w:highlight w:val="none"/>
        </w:rPr>
        <w:t>；</w:t>
      </w:r>
    </w:p>
    <w:p w14:paraId="748E717F">
      <w:pPr>
        <w:spacing w:line="440" w:lineRule="exact"/>
        <w:ind w:firstLine="480"/>
        <w:rPr>
          <w:rFonts w:hint="eastAsia" w:ascii="宋体" w:hAnsi="宋体"/>
          <w:color w:val="000000"/>
          <w:sz w:val="24"/>
          <w:szCs w:val="28"/>
          <w:highlight w:val="none"/>
        </w:rPr>
      </w:pPr>
      <w:r>
        <w:rPr>
          <w:rFonts w:hint="eastAsia" w:ascii="宋体" w:hAnsi="宋体"/>
          <w:color w:val="000000"/>
          <w:sz w:val="24"/>
          <w:szCs w:val="28"/>
          <w:highlight w:val="none"/>
        </w:rPr>
        <w:t>（4）有依法缴纳税收和社会保障资金的良好记录</w:t>
      </w:r>
      <w:r>
        <w:rPr>
          <w:rFonts w:hint="eastAsia" w:ascii="楷体" w:hAnsi="楷体" w:eastAsia="楷体"/>
          <w:color w:val="000000"/>
          <w:sz w:val="24"/>
          <w:szCs w:val="28"/>
          <w:highlight w:val="none"/>
        </w:rPr>
        <w:t>[</w:t>
      </w:r>
      <w:r>
        <w:rPr>
          <w:rFonts w:hint="eastAsia" w:ascii="宋体" w:hAnsi="宋体"/>
          <w:color w:val="000000"/>
          <w:sz w:val="24"/>
          <w:szCs w:val="28"/>
          <w:highlight w:val="none"/>
        </w:rPr>
        <w:t>提供参加本次政府采购活动近半年内至少一个月的依法缴纳税收和社会保险的凭据或提供资格承诺函（格</w:t>
      </w:r>
      <w:r>
        <w:rPr>
          <w:rFonts w:hint="eastAsia" w:ascii="宋体" w:hAnsi="宋体" w:cs="宋体"/>
          <w:color w:val="000000"/>
          <w:spacing w:val="-6"/>
          <w:sz w:val="24"/>
          <w:szCs w:val="24"/>
          <w:highlight w:val="none"/>
        </w:rPr>
        <w:t>式见第六部分</w:t>
      </w:r>
      <w:r>
        <w:rPr>
          <w:rFonts w:hint="eastAsia" w:ascii="宋体" w:hAnsi="宋体"/>
          <w:color w:val="000000"/>
          <w:sz w:val="24"/>
          <w:szCs w:val="28"/>
          <w:highlight w:val="none"/>
        </w:rPr>
        <w:t>）</w:t>
      </w:r>
      <w:r>
        <w:rPr>
          <w:rFonts w:hint="eastAsia" w:ascii="楷体" w:hAnsi="楷体" w:eastAsia="楷体"/>
          <w:color w:val="000000"/>
          <w:sz w:val="24"/>
          <w:szCs w:val="28"/>
          <w:highlight w:val="none"/>
        </w:rPr>
        <w:t>]</w:t>
      </w:r>
      <w:r>
        <w:rPr>
          <w:rFonts w:hint="eastAsia" w:ascii="宋体" w:hAnsi="宋体"/>
          <w:color w:val="000000"/>
          <w:sz w:val="24"/>
          <w:szCs w:val="28"/>
          <w:highlight w:val="none"/>
        </w:rPr>
        <w:t>；</w:t>
      </w:r>
    </w:p>
    <w:p w14:paraId="02DFE48B">
      <w:pPr>
        <w:spacing w:line="440" w:lineRule="exact"/>
        <w:ind w:firstLine="480"/>
        <w:rPr>
          <w:rFonts w:hint="eastAsia" w:ascii="宋体" w:hAnsi="宋体"/>
          <w:color w:val="000000"/>
          <w:sz w:val="24"/>
          <w:szCs w:val="28"/>
          <w:highlight w:val="none"/>
        </w:rPr>
      </w:pPr>
      <w:r>
        <w:rPr>
          <w:rFonts w:hint="eastAsia" w:ascii="宋体" w:hAnsi="宋体"/>
          <w:color w:val="000000"/>
          <w:sz w:val="24"/>
          <w:szCs w:val="28"/>
          <w:highlight w:val="none"/>
        </w:rPr>
        <w:t>（5）</w:t>
      </w:r>
      <w:bookmarkStart w:id="32" w:name="OLE_LINK6"/>
      <w:r>
        <w:rPr>
          <w:rFonts w:hint="eastAsia" w:ascii="宋体" w:hAnsi="宋体"/>
          <w:color w:val="000000"/>
          <w:sz w:val="24"/>
          <w:szCs w:val="28"/>
          <w:highlight w:val="none"/>
        </w:rPr>
        <w:t>参加政府采购活动前三年内，在经营活动中没有重大违法记录</w:t>
      </w:r>
      <w:r>
        <w:rPr>
          <w:rFonts w:hint="eastAsia" w:ascii="楷体" w:hAnsi="楷体" w:eastAsia="楷体"/>
          <w:color w:val="000000"/>
          <w:sz w:val="24"/>
          <w:szCs w:val="28"/>
          <w:highlight w:val="none"/>
        </w:rPr>
        <w:t>[</w:t>
      </w:r>
      <w:r>
        <w:rPr>
          <w:rFonts w:hint="eastAsia" w:ascii="宋体" w:hAnsi="宋体"/>
          <w:color w:val="000000"/>
          <w:sz w:val="24"/>
          <w:szCs w:val="28"/>
          <w:highlight w:val="none"/>
        </w:rPr>
        <w:t>见磋商承诺函或提供资格承诺函（</w:t>
      </w:r>
      <w:r>
        <w:rPr>
          <w:rFonts w:hint="eastAsia" w:ascii="宋体" w:hAnsi="宋体" w:cs="宋体"/>
          <w:color w:val="000000"/>
          <w:spacing w:val="-6"/>
          <w:sz w:val="24"/>
          <w:szCs w:val="24"/>
          <w:highlight w:val="none"/>
        </w:rPr>
        <w:t>格式见第六部</w:t>
      </w:r>
      <w:r>
        <w:rPr>
          <w:rFonts w:hint="eastAsia" w:ascii="宋体" w:hAnsi="宋体"/>
          <w:color w:val="000000"/>
          <w:sz w:val="24"/>
          <w:szCs w:val="28"/>
          <w:highlight w:val="none"/>
        </w:rPr>
        <w:t>分）</w:t>
      </w:r>
      <w:r>
        <w:rPr>
          <w:rFonts w:hint="eastAsia" w:ascii="楷体" w:hAnsi="楷体" w:eastAsia="楷体"/>
          <w:color w:val="000000"/>
          <w:sz w:val="24"/>
          <w:szCs w:val="28"/>
          <w:highlight w:val="none"/>
        </w:rPr>
        <w:t>]</w:t>
      </w:r>
      <w:bookmarkEnd w:id="32"/>
      <w:r>
        <w:rPr>
          <w:rFonts w:hint="eastAsia" w:ascii="宋体" w:hAnsi="宋体"/>
          <w:color w:val="000000"/>
          <w:sz w:val="24"/>
          <w:szCs w:val="28"/>
          <w:highlight w:val="none"/>
        </w:rPr>
        <w:t>;</w:t>
      </w:r>
    </w:p>
    <w:p w14:paraId="06828B36">
      <w:pPr>
        <w:spacing w:line="440" w:lineRule="exact"/>
        <w:ind w:firstLine="480"/>
        <w:rPr>
          <w:rFonts w:hint="eastAsia" w:ascii="宋体" w:hAnsi="宋体" w:eastAsia="宋体"/>
          <w:color w:val="000000"/>
          <w:sz w:val="24"/>
          <w:szCs w:val="28"/>
          <w:highlight w:val="none"/>
          <w:lang w:val="en-US" w:eastAsia="zh-CN"/>
        </w:rPr>
      </w:pPr>
      <w:r>
        <w:rPr>
          <w:rFonts w:hint="eastAsia" w:ascii="宋体" w:hAnsi="宋体"/>
          <w:color w:val="000000"/>
          <w:sz w:val="24"/>
          <w:szCs w:val="28"/>
          <w:highlight w:val="none"/>
        </w:rPr>
        <w:t>（6）法律、行政法规规定的其他条件：</w:t>
      </w:r>
      <w:r>
        <w:rPr>
          <w:rFonts w:hint="eastAsia"/>
          <w:color w:val="000000"/>
          <w:sz w:val="24"/>
          <w:szCs w:val="28"/>
          <w:highlight w:val="none"/>
          <w:lang w:val="en-US" w:eastAsia="zh-CN"/>
        </w:rPr>
        <w:t>无</w:t>
      </w:r>
    </w:p>
    <w:p w14:paraId="0237A6A5">
      <w:pPr>
        <w:spacing w:line="440" w:lineRule="exact"/>
        <w:ind w:firstLine="480"/>
        <w:rPr>
          <w:rFonts w:hint="eastAsia" w:ascii="宋体" w:hAnsi="宋体"/>
          <w:color w:val="000000"/>
          <w:sz w:val="24"/>
          <w:szCs w:val="28"/>
          <w:highlight w:val="none"/>
        </w:rPr>
      </w:pPr>
      <w:r>
        <w:rPr>
          <w:rFonts w:hint="eastAsia" w:ascii="宋体" w:hAnsi="宋体"/>
          <w:color w:val="000000"/>
          <w:sz w:val="24"/>
          <w:szCs w:val="28"/>
          <w:highlight w:val="none"/>
        </w:rPr>
        <w:t>2.落实政府采购政策需满足的资格要求：本项目专门面向中小</w:t>
      </w:r>
      <w:r>
        <w:rPr>
          <w:rFonts w:hint="eastAsia"/>
          <w:color w:val="000000"/>
          <w:sz w:val="24"/>
          <w:szCs w:val="28"/>
          <w:highlight w:val="none"/>
          <w:lang w:val="en-US" w:eastAsia="zh-CN"/>
        </w:rPr>
        <w:t>微</w:t>
      </w:r>
      <w:r>
        <w:rPr>
          <w:rFonts w:hint="eastAsia" w:ascii="宋体" w:hAnsi="宋体"/>
          <w:color w:val="000000"/>
          <w:sz w:val="24"/>
          <w:szCs w:val="28"/>
          <w:highlight w:val="none"/>
        </w:rPr>
        <w:t>企业，服务全部由符合政策要求的中小</w:t>
      </w:r>
      <w:r>
        <w:rPr>
          <w:rFonts w:hint="eastAsia"/>
          <w:color w:val="000000"/>
          <w:sz w:val="24"/>
          <w:szCs w:val="28"/>
          <w:highlight w:val="none"/>
          <w:lang w:val="en-US" w:eastAsia="zh-CN"/>
        </w:rPr>
        <w:t>微</w:t>
      </w:r>
      <w:r>
        <w:rPr>
          <w:rFonts w:hint="eastAsia" w:ascii="宋体" w:hAnsi="宋体"/>
          <w:color w:val="000000"/>
          <w:sz w:val="24"/>
          <w:szCs w:val="28"/>
          <w:highlight w:val="none"/>
        </w:rPr>
        <w:t>企业承接，提供中小企业声明函。本项目对应的中小企业划分标准所属行业为</w:t>
      </w:r>
      <w:r>
        <w:rPr>
          <w:rFonts w:hint="eastAsia"/>
          <w:color w:val="000000"/>
          <w:sz w:val="24"/>
          <w:szCs w:val="28"/>
          <w:highlight w:val="none"/>
          <w:lang w:eastAsia="zh-CN"/>
        </w:rPr>
        <w:t>其他未列明行业</w:t>
      </w:r>
      <w:r>
        <w:rPr>
          <w:rFonts w:hint="eastAsia" w:ascii="宋体" w:hAnsi="宋体"/>
          <w:color w:val="000000"/>
          <w:sz w:val="24"/>
          <w:szCs w:val="28"/>
          <w:highlight w:val="none"/>
        </w:rPr>
        <w:t>。</w:t>
      </w:r>
    </w:p>
    <w:p w14:paraId="6DCAB9C0">
      <w:pPr>
        <w:spacing w:line="440" w:lineRule="exact"/>
        <w:ind w:firstLine="480"/>
        <w:rPr>
          <w:rFonts w:hint="eastAsia" w:ascii="宋体" w:hAnsi="宋体"/>
          <w:color w:val="000000"/>
          <w:sz w:val="24"/>
          <w:szCs w:val="28"/>
          <w:highlight w:val="none"/>
          <w:lang w:val="en-US" w:eastAsia="zh-CN"/>
        </w:rPr>
      </w:pPr>
      <w:r>
        <w:rPr>
          <w:rFonts w:hint="eastAsia" w:ascii="宋体" w:hAnsi="宋体"/>
          <w:color w:val="000000"/>
          <w:sz w:val="24"/>
          <w:szCs w:val="28"/>
          <w:highlight w:val="none"/>
        </w:rPr>
        <w:t>3.本项目的特定资质要求：</w:t>
      </w:r>
      <w:r>
        <w:rPr>
          <w:rFonts w:hint="eastAsia"/>
          <w:color w:val="000000"/>
          <w:sz w:val="24"/>
          <w:szCs w:val="28"/>
          <w:highlight w:val="none"/>
          <w:lang w:val="en-US" w:eastAsia="zh-CN"/>
        </w:rPr>
        <w:t>①供应商</w:t>
      </w:r>
      <w:r>
        <w:rPr>
          <w:rFonts w:hint="eastAsia" w:ascii="宋体" w:hAnsi="宋体"/>
          <w:color w:val="000000"/>
          <w:sz w:val="24"/>
          <w:szCs w:val="28"/>
          <w:highlight w:val="none"/>
        </w:rPr>
        <w:t>须具有电力总承包</w:t>
      </w:r>
      <w:r>
        <w:rPr>
          <w:rFonts w:hint="eastAsia" w:ascii="宋体" w:hAnsi="宋体"/>
          <w:color w:val="000000"/>
          <w:sz w:val="24"/>
          <w:szCs w:val="28"/>
          <w:highlight w:val="none"/>
          <w:lang w:val="en-US" w:eastAsia="zh-CN"/>
        </w:rPr>
        <w:t>三</w:t>
      </w:r>
      <w:r>
        <w:rPr>
          <w:rFonts w:hint="eastAsia" w:ascii="宋体" w:hAnsi="宋体"/>
          <w:color w:val="000000"/>
          <w:sz w:val="24"/>
          <w:szCs w:val="28"/>
          <w:highlight w:val="none"/>
        </w:rPr>
        <w:t>级资质（含）以上或输变电工程专业承包三级资质（含）以上</w:t>
      </w:r>
      <w:r>
        <w:rPr>
          <w:rFonts w:hint="eastAsia"/>
          <w:color w:val="000000"/>
          <w:sz w:val="24"/>
          <w:szCs w:val="28"/>
          <w:highlight w:val="none"/>
          <w:lang w:val="en-US" w:eastAsia="zh-CN"/>
        </w:rPr>
        <w:t>②</w:t>
      </w:r>
      <w:r>
        <w:rPr>
          <w:rFonts w:hint="eastAsia" w:ascii="宋体" w:hAnsi="宋体"/>
          <w:color w:val="000000"/>
          <w:sz w:val="24"/>
          <w:szCs w:val="28"/>
          <w:highlight w:val="none"/>
        </w:rPr>
        <w:t>具有电力承装（修、试）</w:t>
      </w:r>
      <w:r>
        <w:rPr>
          <w:rFonts w:hint="eastAsia" w:ascii="宋体" w:hAnsi="宋体"/>
          <w:color w:val="000000"/>
          <w:sz w:val="24"/>
          <w:szCs w:val="28"/>
          <w:highlight w:val="none"/>
          <w:lang w:val="en-US" w:eastAsia="zh-CN"/>
        </w:rPr>
        <w:t>三</w:t>
      </w:r>
      <w:r>
        <w:rPr>
          <w:rFonts w:hint="eastAsia" w:ascii="宋体" w:hAnsi="宋体"/>
          <w:color w:val="000000"/>
          <w:sz w:val="24"/>
          <w:szCs w:val="28"/>
          <w:highlight w:val="none"/>
        </w:rPr>
        <w:t>级含）以上资质</w:t>
      </w:r>
      <w:r>
        <w:rPr>
          <w:rFonts w:hint="eastAsia"/>
          <w:color w:val="000000"/>
          <w:sz w:val="24"/>
          <w:szCs w:val="28"/>
          <w:highlight w:val="none"/>
          <w:lang w:val="en-US" w:eastAsia="zh-CN"/>
        </w:rPr>
        <w:t>③</w:t>
      </w:r>
      <w:r>
        <w:rPr>
          <w:rFonts w:hint="eastAsia" w:ascii="宋体" w:hAnsi="宋体"/>
          <w:color w:val="000000"/>
          <w:sz w:val="24"/>
          <w:szCs w:val="28"/>
          <w:highlight w:val="none"/>
        </w:rPr>
        <w:t>具有安全生产许可证</w:t>
      </w:r>
      <w:r>
        <w:rPr>
          <w:rFonts w:hint="eastAsia" w:ascii="宋体" w:hAnsi="宋体"/>
          <w:color w:val="000000"/>
          <w:sz w:val="24"/>
          <w:szCs w:val="28"/>
          <w:highlight w:val="none"/>
          <w:lang w:eastAsia="zh-CN"/>
        </w:rPr>
        <w:t>。</w:t>
      </w:r>
    </w:p>
    <w:bookmarkEnd w:id="30"/>
    <w:p w14:paraId="2FF01D4B">
      <w:pPr>
        <w:spacing w:line="440" w:lineRule="exact"/>
        <w:ind w:firstLine="480"/>
        <w:rPr>
          <w:rFonts w:hint="eastAsia" w:ascii="宋体" w:hAnsi="宋体"/>
          <w:sz w:val="24"/>
          <w:szCs w:val="28"/>
          <w:highlight w:val="none"/>
        </w:rPr>
      </w:pPr>
      <w:r>
        <w:rPr>
          <w:rFonts w:hint="eastAsia" w:ascii="宋体" w:hAnsi="宋体"/>
          <w:sz w:val="24"/>
          <w:szCs w:val="28"/>
          <w:highlight w:val="none"/>
        </w:rPr>
        <w:t>4. 拒绝下述供应商参加本次采购活动</w:t>
      </w:r>
    </w:p>
    <w:p w14:paraId="5BA0FD42">
      <w:pPr>
        <w:spacing w:line="440" w:lineRule="exact"/>
        <w:ind w:firstLine="480"/>
        <w:rPr>
          <w:rFonts w:hint="eastAsia" w:ascii="宋体" w:hAnsi="宋体"/>
          <w:sz w:val="24"/>
          <w:szCs w:val="28"/>
          <w:highlight w:val="none"/>
        </w:rPr>
      </w:pPr>
      <w:r>
        <w:rPr>
          <w:rFonts w:hint="eastAsia" w:ascii="宋体" w:hAnsi="宋体"/>
          <w:sz w:val="24"/>
          <w:szCs w:val="28"/>
          <w:highlight w:val="none"/>
        </w:rPr>
        <w:t>⑴供应商单位负责人为同一人或者存在直接控股、管理关系的不同供应商，不得参加同一合同项下的政府采购活动；</w:t>
      </w:r>
    </w:p>
    <w:p w14:paraId="187D0E80">
      <w:pPr>
        <w:spacing w:line="440" w:lineRule="exact"/>
        <w:ind w:firstLine="480"/>
        <w:rPr>
          <w:rFonts w:hint="eastAsia" w:ascii="宋体" w:hAnsi="宋体"/>
          <w:sz w:val="24"/>
          <w:szCs w:val="28"/>
          <w:highlight w:val="none"/>
        </w:rPr>
      </w:pPr>
      <w:r>
        <w:rPr>
          <w:rFonts w:hint="eastAsia" w:ascii="宋体" w:hAnsi="宋体"/>
          <w:sz w:val="24"/>
          <w:szCs w:val="28"/>
          <w:highlight w:val="none"/>
        </w:rPr>
        <w:t>⑵为采购项目提供整体设计、规范编制或者项目管理、监理、检测等服务的供应商，不得参加本项目的采购活动；</w:t>
      </w:r>
    </w:p>
    <w:p w14:paraId="67CC45CF">
      <w:pPr>
        <w:spacing w:line="440" w:lineRule="exact"/>
        <w:ind w:firstLine="480"/>
        <w:rPr>
          <w:rFonts w:hint="eastAsia" w:ascii="宋体" w:hAnsi="宋体"/>
          <w:sz w:val="24"/>
          <w:szCs w:val="28"/>
          <w:highlight w:val="none"/>
        </w:rPr>
      </w:pPr>
      <w:r>
        <w:rPr>
          <w:rFonts w:hint="eastAsia" w:ascii="宋体" w:hAnsi="宋体"/>
          <w:sz w:val="24"/>
          <w:szCs w:val="28"/>
          <w:highlight w:val="none"/>
        </w:rPr>
        <w:t>⑶供应商被“信用中国”网站（www.creditchina.gov.cn）、“中国政府采购网”(www.ccgp.gov.cn)列入失信被执行人、重大税收违法案件当事人名单、政府采购严重违法失信行为记录名单。</w:t>
      </w:r>
    </w:p>
    <w:bookmarkEnd w:id="31"/>
    <w:p w14:paraId="3D8436C0">
      <w:pPr>
        <w:pStyle w:val="188"/>
        <w:spacing w:line="240" w:lineRule="auto"/>
        <w:jc w:val="left"/>
        <w:rPr>
          <w:rFonts w:hint="eastAsia" w:ascii="宋体" w:hAnsi="宋体" w:eastAsia="宋体" w:cs="Times New Roman"/>
          <w:b/>
          <w:highlight w:val="none"/>
        </w:rPr>
      </w:pPr>
      <w:bookmarkStart w:id="33" w:name="_Toc25333"/>
      <w:bookmarkStart w:id="34" w:name="_Toc73365459"/>
      <w:bookmarkStart w:id="35" w:name="_Toc73364846"/>
      <w:r>
        <w:rPr>
          <w:rFonts w:hint="eastAsia" w:ascii="宋体" w:hAnsi="宋体" w:eastAsia="宋体" w:cs="Times New Roman"/>
          <w:b/>
          <w:highlight w:val="none"/>
        </w:rPr>
        <w:t>三、获取磋商文件</w:t>
      </w:r>
      <w:bookmarkEnd w:id="33"/>
      <w:bookmarkEnd w:id="34"/>
      <w:bookmarkEnd w:id="35"/>
    </w:p>
    <w:p w14:paraId="04143CFD">
      <w:pPr>
        <w:spacing w:line="240" w:lineRule="auto"/>
        <w:ind w:firstLine="480"/>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时间：自磋商文件公告发布之日起5个工作日</w:t>
      </w:r>
      <w:r>
        <w:rPr>
          <w:rFonts w:hint="eastAsia" w:ascii="宋体" w:hAnsi="宋体"/>
          <w:color w:val="000000"/>
          <w:sz w:val="24"/>
          <w:szCs w:val="28"/>
          <w:highlight w:val="none"/>
          <w:lang w:val="en-US" w:eastAsia="zh-CN"/>
        </w:rPr>
        <w:t>。</w:t>
      </w:r>
    </w:p>
    <w:p w14:paraId="17804FFB">
      <w:pPr>
        <w:spacing w:line="240" w:lineRule="auto"/>
        <w:ind w:firstLine="480"/>
        <w:rPr>
          <w:rFonts w:hint="eastAsia" w:ascii="宋体" w:hAnsi="宋体"/>
          <w:color w:val="000000"/>
          <w:sz w:val="24"/>
          <w:szCs w:val="28"/>
          <w:highlight w:val="none"/>
        </w:rPr>
      </w:pPr>
      <w:r>
        <w:rPr>
          <w:rFonts w:hint="eastAsia" w:ascii="宋体" w:hAnsi="宋体"/>
          <w:color w:val="000000"/>
          <w:sz w:val="24"/>
          <w:szCs w:val="28"/>
          <w:highlight w:val="none"/>
        </w:rPr>
        <w:t>地点：</w:t>
      </w:r>
      <w:bookmarkStart w:id="36" w:name="_Hlk145494637"/>
      <w:bookmarkStart w:id="37" w:name="_Hlk151734137"/>
      <w:r>
        <w:rPr>
          <w:rFonts w:hint="eastAsia" w:ascii="宋体" w:hAnsi="宋体"/>
          <w:color w:val="000000"/>
          <w:sz w:val="24"/>
          <w:szCs w:val="28"/>
          <w:highlight w:val="none"/>
        </w:rPr>
        <w:t>江苏政府采购网-苏采云</w:t>
      </w:r>
      <w:bookmarkEnd w:id="36"/>
      <w:r>
        <w:rPr>
          <w:rFonts w:hint="eastAsia" w:ascii="宋体" w:hAnsi="宋体"/>
          <w:color w:val="000000"/>
          <w:sz w:val="24"/>
          <w:szCs w:val="28"/>
          <w:highlight w:val="none"/>
        </w:rPr>
        <w:t>系统获取磋商文件</w:t>
      </w:r>
      <w:bookmarkEnd w:id="37"/>
    </w:p>
    <w:p w14:paraId="55A1A4D0">
      <w:pPr>
        <w:spacing w:line="240" w:lineRule="auto"/>
        <w:ind w:firstLine="480"/>
        <w:rPr>
          <w:rFonts w:ascii="宋体" w:hAnsi="宋体"/>
          <w:color w:val="000000"/>
          <w:sz w:val="24"/>
          <w:szCs w:val="28"/>
          <w:highlight w:val="none"/>
        </w:rPr>
      </w:pPr>
      <w:r>
        <w:rPr>
          <w:rFonts w:hint="eastAsia" w:ascii="宋体" w:hAnsi="宋体"/>
          <w:color w:val="000000"/>
          <w:sz w:val="24"/>
          <w:szCs w:val="28"/>
          <w:highlight w:val="none"/>
        </w:rPr>
        <w:t>方式：</w:t>
      </w:r>
      <w:bookmarkStart w:id="38" w:name="OLE_LINK5"/>
      <w:r>
        <w:rPr>
          <w:rFonts w:hint="eastAsia" w:ascii="宋体" w:hAnsi="宋体"/>
          <w:color w:val="000000"/>
          <w:sz w:val="24"/>
          <w:szCs w:val="28"/>
          <w:highlight w:val="none"/>
        </w:rPr>
        <w:t>在线获取（“苏采云”系统用户注册--获取“CA数字证书”--CA绑定与登录--网上报名--下载磋商文件，具体详见“苏采云”系统供应商操作指南（</w:t>
      </w:r>
      <w:r>
        <w:rPr>
          <w:rFonts w:ascii="宋体" w:hAnsi="宋体"/>
          <w:color w:val="000000"/>
          <w:sz w:val="24"/>
          <w:szCs w:val="28"/>
          <w:highlight w:val="none"/>
        </w:rPr>
        <w:fldChar w:fldCharType="begin"/>
      </w:r>
      <w:r>
        <w:rPr>
          <w:rFonts w:ascii="宋体" w:hAnsi="宋体"/>
          <w:color w:val="000000"/>
          <w:sz w:val="24"/>
          <w:szCs w:val="28"/>
          <w:highlight w:val="none"/>
        </w:rPr>
        <w:instrText xml:space="preserve"> HYPERLINK "</w:instrText>
      </w:r>
      <w:r>
        <w:rPr>
          <w:rFonts w:hint="eastAsia" w:ascii="宋体" w:hAnsi="宋体"/>
          <w:color w:val="000000"/>
          <w:sz w:val="24"/>
          <w:szCs w:val="28"/>
          <w:highlight w:val="none"/>
        </w:rPr>
        <w:instrText xml:space="preserve">http://www.ccgp-jiangsu.gov.cn/jiangsu/zlxz/ee/ee3a4bc5a3454aa2b0d9312230633ce9.html</w:instrText>
      </w:r>
      <w:r>
        <w:rPr>
          <w:rFonts w:ascii="宋体" w:hAnsi="宋体"/>
          <w:color w:val="000000"/>
          <w:sz w:val="24"/>
          <w:szCs w:val="28"/>
          <w:highlight w:val="none"/>
        </w:rPr>
        <w:instrText xml:space="preserve">" </w:instrText>
      </w:r>
      <w:r>
        <w:rPr>
          <w:rFonts w:ascii="宋体" w:hAnsi="宋体"/>
          <w:color w:val="000000"/>
          <w:sz w:val="24"/>
          <w:szCs w:val="28"/>
          <w:highlight w:val="none"/>
        </w:rPr>
        <w:fldChar w:fldCharType="separate"/>
      </w:r>
      <w:r>
        <w:rPr>
          <w:rStyle w:val="320"/>
          <w:rFonts w:hint="eastAsia" w:ascii="宋体" w:hAnsi="宋体"/>
          <w:color w:val="000000"/>
          <w:sz w:val="24"/>
          <w:szCs w:val="28"/>
          <w:highlight w:val="none"/>
        </w:rPr>
        <w:t>http://www.ccgp-jiangsu.gov.cn/jiangsu/zlxz/ee/ee3a4bc5a3454aa2b0d9312230633ce9.html</w:t>
      </w:r>
      <w:r>
        <w:rPr>
          <w:rFonts w:ascii="宋体" w:hAnsi="宋体"/>
          <w:color w:val="000000"/>
          <w:sz w:val="24"/>
          <w:szCs w:val="28"/>
          <w:highlight w:val="none"/>
        </w:rPr>
        <w:fldChar w:fldCharType="end"/>
      </w:r>
      <w:r>
        <w:rPr>
          <w:rFonts w:hint="eastAsia" w:ascii="宋体" w:hAnsi="宋体"/>
          <w:color w:val="000000"/>
          <w:sz w:val="24"/>
          <w:szCs w:val="28"/>
          <w:highlight w:val="none"/>
        </w:rPr>
        <w:t>）。</w:t>
      </w:r>
      <w:bookmarkEnd w:id="38"/>
    </w:p>
    <w:p w14:paraId="6D2F634E">
      <w:pPr>
        <w:spacing w:line="240" w:lineRule="auto"/>
        <w:ind w:firstLine="480"/>
        <w:rPr>
          <w:rFonts w:ascii="宋体" w:hAnsi="宋体"/>
          <w:color w:val="000000"/>
          <w:sz w:val="24"/>
          <w:szCs w:val="28"/>
          <w:highlight w:val="none"/>
        </w:rPr>
      </w:pPr>
      <w:r>
        <w:rPr>
          <w:rFonts w:hint="eastAsia" w:ascii="宋体" w:hAnsi="宋体"/>
          <w:color w:val="000000"/>
          <w:sz w:val="24"/>
          <w:szCs w:val="28"/>
          <w:highlight w:val="none"/>
        </w:rPr>
        <w:t>售价：</w:t>
      </w:r>
      <w:bookmarkStart w:id="39" w:name="EBfbf5c223f9c74f99858ac447a593fb5c"/>
      <w:r>
        <w:rPr>
          <w:rFonts w:hint="eastAsia" w:ascii="宋体" w:hAnsi="宋体"/>
          <w:color w:val="000000"/>
          <w:sz w:val="24"/>
          <w:szCs w:val="28"/>
          <w:highlight w:val="none"/>
        </w:rPr>
        <w:t>免费</w:t>
      </w:r>
      <w:bookmarkEnd w:id="39"/>
      <w:r>
        <w:rPr>
          <w:rFonts w:ascii="宋体" w:hAnsi="宋体"/>
          <w:color w:val="000000"/>
          <w:sz w:val="24"/>
          <w:szCs w:val="28"/>
          <w:highlight w:val="none"/>
        </w:rPr>
        <w:t xml:space="preserve"> </w:t>
      </w:r>
    </w:p>
    <w:p w14:paraId="037E083A">
      <w:pPr>
        <w:pStyle w:val="188"/>
        <w:spacing w:line="240" w:lineRule="auto"/>
        <w:jc w:val="left"/>
        <w:rPr>
          <w:rFonts w:hint="eastAsia" w:ascii="宋体" w:hAnsi="宋体" w:eastAsia="宋体" w:cs="Times New Roman"/>
          <w:b/>
          <w:highlight w:val="none"/>
        </w:rPr>
      </w:pPr>
      <w:bookmarkStart w:id="40" w:name="_Toc10974"/>
      <w:bookmarkStart w:id="41" w:name="_Toc73364847"/>
      <w:bookmarkStart w:id="42" w:name="_Toc73365460"/>
      <w:r>
        <w:rPr>
          <w:rFonts w:hint="eastAsia" w:ascii="宋体" w:hAnsi="宋体" w:eastAsia="宋体" w:cs="Times New Roman"/>
          <w:b/>
          <w:highlight w:val="none"/>
        </w:rPr>
        <w:t>四、首次响应文件提交</w:t>
      </w:r>
      <w:bookmarkEnd w:id="40"/>
      <w:bookmarkEnd w:id="41"/>
      <w:bookmarkEnd w:id="42"/>
    </w:p>
    <w:p w14:paraId="70FBE019">
      <w:pPr>
        <w:spacing w:line="240" w:lineRule="auto"/>
        <w:ind w:firstLine="480"/>
        <w:rPr>
          <w:rFonts w:ascii="宋体" w:hAnsi="宋体"/>
          <w:bCs/>
          <w:color w:val="000000"/>
          <w:sz w:val="24"/>
          <w:szCs w:val="28"/>
          <w:highlight w:val="none"/>
        </w:rPr>
      </w:pPr>
      <w:bookmarkStart w:id="43" w:name="_Toc73364848"/>
      <w:bookmarkStart w:id="44" w:name="_Toc73365461"/>
      <w:r>
        <w:rPr>
          <w:rFonts w:hint="eastAsia" w:ascii="宋体" w:hAnsi="宋体"/>
          <w:color w:val="000000"/>
          <w:sz w:val="24"/>
          <w:highlight w:val="none"/>
        </w:rPr>
        <w:t>电子响应文件</w:t>
      </w:r>
    </w:p>
    <w:p w14:paraId="29092A8B">
      <w:pPr>
        <w:spacing w:line="240" w:lineRule="auto"/>
        <w:ind w:firstLine="480"/>
        <w:rPr>
          <w:rFonts w:ascii="宋体" w:hAnsi="宋体"/>
          <w:bCs/>
          <w:color w:val="000000"/>
          <w:sz w:val="24"/>
          <w:szCs w:val="28"/>
          <w:highlight w:val="none"/>
          <w:u w:val="single"/>
        </w:rPr>
      </w:pPr>
      <w:r>
        <w:rPr>
          <w:rFonts w:hint="eastAsia" w:ascii="宋体" w:hAnsi="宋体"/>
          <w:bCs/>
          <w:color w:val="000000"/>
          <w:sz w:val="24"/>
          <w:szCs w:val="28"/>
          <w:highlight w:val="none"/>
        </w:rPr>
        <w:t>截止时间：</w:t>
      </w:r>
      <w:bookmarkStart w:id="45" w:name="EBc44d053eaddd4397a37bc2fc3c3b90e6"/>
      <w:r>
        <w:rPr>
          <w:rFonts w:hint="eastAsia" w:ascii="宋体" w:hAnsi="宋体"/>
          <w:bCs/>
          <w:color w:val="000000"/>
          <w:sz w:val="24"/>
          <w:szCs w:val="28"/>
          <w:highlight w:val="none"/>
        </w:rPr>
        <w:t>202</w:t>
      </w:r>
      <w:r>
        <w:rPr>
          <w:rFonts w:hint="eastAsia" w:ascii="宋体" w:hAnsi="宋体"/>
          <w:bCs/>
          <w:color w:val="000000"/>
          <w:sz w:val="24"/>
          <w:szCs w:val="28"/>
          <w:highlight w:val="none"/>
          <w:lang w:val="en-US" w:eastAsia="zh-CN"/>
        </w:rPr>
        <w:t>5</w:t>
      </w:r>
      <w:r>
        <w:rPr>
          <w:rFonts w:hint="eastAsia" w:ascii="宋体" w:hAnsi="宋体"/>
          <w:bCs/>
          <w:color w:val="000000"/>
          <w:sz w:val="24"/>
          <w:szCs w:val="28"/>
          <w:highlight w:val="none"/>
        </w:rPr>
        <w:t>-</w:t>
      </w:r>
      <w:r>
        <w:rPr>
          <w:rFonts w:hint="eastAsia"/>
          <w:bCs/>
          <w:color w:val="000000"/>
          <w:sz w:val="24"/>
          <w:szCs w:val="28"/>
          <w:highlight w:val="none"/>
          <w:lang w:val="en-US" w:eastAsia="zh-CN"/>
        </w:rPr>
        <w:t>12</w:t>
      </w:r>
      <w:r>
        <w:rPr>
          <w:rFonts w:hint="eastAsia" w:ascii="宋体" w:hAnsi="宋体"/>
          <w:bCs/>
          <w:color w:val="000000"/>
          <w:sz w:val="24"/>
          <w:szCs w:val="28"/>
          <w:highlight w:val="none"/>
        </w:rPr>
        <w:t>-</w:t>
      </w:r>
      <w:r>
        <w:rPr>
          <w:rFonts w:hint="eastAsia"/>
          <w:bCs/>
          <w:color w:val="000000"/>
          <w:sz w:val="24"/>
          <w:szCs w:val="28"/>
          <w:highlight w:val="none"/>
          <w:lang w:val="en-US" w:eastAsia="zh-CN"/>
        </w:rPr>
        <w:t xml:space="preserve">09 </w:t>
      </w:r>
      <w:r>
        <w:rPr>
          <w:rFonts w:hint="eastAsia" w:ascii="宋体" w:hAnsi="宋体"/>
          <w:bCs/>
          <w:color w:val="000000"/>
          <w:sz w:val="24"/>
          <w:szCs w:val="28"/>
          <w:highlight w:val="none"/>
        </w:rPr>
        <w:t xml:space="preserve"> </w:t>
      </w:r>
      <w:r>
        <w:rPr>
          <w:rFonts w:ascii="宋体" w:hAnsi="宋体"/>
          <w:bCs/>
          <w:color w:val="000000"/>
          <w:sz w:val="24"/>
          <w:szCs w:val="28"/>
          <w:highlight w:val="none"/>
        </w:rPr>
        <w:t>9</w:t>
      </w:r>
      <w:r>
        <w:rPr>
          <w:rFonts w:hint="eastAsia" w:ascii="宋体" w:hAnsi="宋体"/>
          <w:bCs/>
          <w:color w:val="000000"/>
          <w:sz w:val="24"/>
          <w:szCs w:val="28"/>
          <w:highlight w:val="none"/>
        </w:rPr>
        <w:t>:</w:t>
      </w:r>
      <w:r>
        <w:rPr>
          <w:rFonts w:ascii="宋体" w:hAnsi="宋体"/>
          <w:bCs/>
          <w:color w:val="000000"/>
          <w:sz w:val="24"/>
          <w:szCs w:val="28"/>
          <w:highlight w:val="none"/>
        </w:rPr>
        <w:t>3</w:t>
      </w:r>
      <w:r>
        <w:rPr>
          <w:rFonts w:hint="eastAsia" w:ascii="宋体" w:hAnsi="宋体"/>
          <w:bCs/>
          <w:color w:val="000000"/>
          <w:sz w:val="24"/>
          <w:szCs w:val="28"/>
          <w:highlight w:val="none"/>
        </w:rPr>
        <w:t>0</w:t>
      </w:r>
      <w:bookmarkEnd w:id="45"/>
      <w:r>
        <w:rPr>
          <w:rFonts w:hint="eastAsia" w:ascii="宋体" w:hAnsi="宋体"/>
          <w:bCs/>
          <w:color w:val="000000"/>
          <w:sz w:val="24"/>
          <w:szCs w:val="28"/>
          <w:highlight w:val="none"/>
        </w:rPr>
        <w:t>（</w:t>
      </w:r>
      <w:r>
        <w:rPr>
          <w:rFonts w:hint="eastAsia" w:ascii="宋体" w:hAnsi="宋体"/>
          <w:color w:val="000000"/>
          <w:sz w:val="24"/>
          <w:highlight w:val="none"/>
        </w:rPr>
        <w:t>截止时间</w:t>
      </w:r>
      <w:r>
        <w:rPr>
          <w:rFonts w:hint="eastAsia" w:ascii="宋体" w:hAnsi="宋体"/>
          <w:bCs/>
          <w:color w:val="000000"/>
          <w:sz w:val="24"/>
          <w:szCs w:val="28"/>
          <w:highlight w:val="none"/>
        </w:rPr>
        <w:t>）</w:t>
      </w:r>
    </w:p>
    <w:p w14:paraId="5F423F41">
      <w:pPr>
        <w:spacing w:line="240" w:lineRule="auto"/>
        <w:ind w:firstLine="480"/>
        <w:rPr>
          <w:rFonts w:hint="eastAsia" w:ascii="宋体" w:hAnsi="宋体"/>
          <w:color w:val="000000"/>
          <w:sz w:val="24"/>
          <w:szCs w:val="28"/>
          <w:highlight w:val="none"/>
        </w:rPr>
      </w:pPr>
      <w:r>
        <w:rPr>
          <w:rFonts w:hint="eastAsia" w:ascii="宋体" w:hAnsi="宋体"/>
          <w:color w:val="000000"/>
          <w:sz w:val="24"/>
          <w:szCs w:val="28"/>
          <w:highlight w:val="none"/>
        </w:rPr>
        <w:t>地点：在线提交</w:t>
      </w:r>
    </w:p>
    <w:p w14:paraId="090B564A">
      <w:pPr>
        <w:spacing w:line="240" w:lineRule="auto"/>
        <w:ind w:firstLine="480"/>
        <w:rPr>
          <w:rFonts w:hint="eastAsia" w:ascii="宋体" w:hAnsi="宋体"/>
          <w:bCs/>
          <w:color w:val="000000"/>
          <w:sz w:val="24"/>
          <w:szCs w:val="24"/>
          <w:highlight w:val="none"/>
        </w:rPr>
      </w:pPr>
      <w:r>
        <w:rPr>
          <w:rFonts w:hint="eastAsia" w:ascii="宋体" w:hAnsi="宋体"/>
          <w:color w:val="000000"/>
          <w:sz w:val="24"/>
          <w:szCs w:val="28"/>
          <w:highlight w:val="none"/>
        </w:rPr>
        <w:t>具体操作详见“苏采云”系统供应商操作指南（</w:t>
      </w:r>
      <w:r>
        <w:rPr>
          <w:rFonts w:ascii="宋体" w:hAnsi="宋体"/>
          <w:color w:val="000000"/>
          <w:sz w:val="24"/>
          <w:szCs w:val="28"/>
          <w:highlight w:val="none"/>
        </w:rPr>
        <w:t>http://www.ccgp-jiangsu.gov.cn/jiangsu/zlxz/ee/ee3a4bc5a3454aa2b0d9312230633ce9.html</w:t>
      </w:r>
      <w:r>
        <w:rPr>
          <w:rFonts w:hint="eastAsia" w:ascii="宋体" w:hAnsi="宋体"/>
          <w:color w:val="000000"/>
          <w:sz w:val="24"/>
          <w:szCs w:val="28"/>
          <w:highlight w:val="none"/>
        </w:rPr>
        <w:t>）</w:t>
      </w:r>
    </w:p>
    <w:p w14:paraId="5A6C636F">
      <w:pPr>
        <w:pStyle w:val="188"/>
        <w:spacing w:line="240" w:lineRule="auto"/>
        <w:jc w:val="left"/>
        <w:rPr>
          <w:rFonts w:hint="eastAsia" w:ascii="宋体" w:hAnsi="宋体" w:eastAsia="宋体" w:cs="Times New Roman"/>
          <w:b/>
          <w:highlight w:val="none"/>
        </w:rPr>
      </w:pPr>
      <w:bookmarkStart w:id="46" w:name="_Toc21559"/>
      <w:r>
        <w:rPr>
          <w:rFonts w:hint="eastAsia" w:ascii="宋体" w:hAnsi="宋体" w:eastAsia="宋体" w:cs="Times New Roman"/>
          <w:b/>
          <w:highlight w:val="none"/>
        </w:rPr>
        <w:t>五、开启</w:t>
      </w:r>
      <w:bookmarkEnd w:id="43"/>
      <w:bookmarkEnd w:id="44"/>
      <w:bookmarkEnd w:id="46"/>
    </w:p>
    <w:p w14:paraId="20E9EA1F">
      <w:pPr>
        <w:spacing w:line="240" w:lineRule="auto"/>
        <w:ind w:firstLine="480"/>
        <w:rPr>
          <w:rFonts w:ascii="宋体" w:hAnsi="宋体"/>
          <w:bCs/>
          <w:color w:val="000000"/>
          <w:sz w:val="24"/>
          <w:szCs w:val="28"/>
          <w:highlight w:val="none"/>
          <w:u w:val="single"/>
        </w:rPr>
      </w:pPr>
      <w:bookmarkStart w:id="47" w:name="_Toc73364849"/>
      <w:bookmarkStart w:id="48" w:name="_Toc73365462"/>
      <w:r>
        <w:rPr>
          <w:rFonts w:hint="eastAsia" w:ascii="宋体" w:hAnsi="宋体"/>
          <w:bCs/>
          <w:color w:val="000000"/>
          <w:sz w:val="24"/>
          <w:szCs w:val="28"/>
          <w:highlight w:val="none"/>
        </w:rPr>
        <w:t>时间：</w:t>
      </w:r>
      <w:r>
        <w:rPr>
          <w:rFonts w:ascii="宋体" w:hAnsi="宋体"/>
          <w:bCs/>
          <w:color w:val="000000"/>
          <w:sz w:val="24"/>
          <w:szCs w:val="28"/>
          <w:highlight w:val="none"/>
        </w:rPr>
        <w:t>202</w:t>
      </w:r>
      <w:r>
        <w:rPr>
          <w:rFonts w:hint="eastAsia" w:ascii="宋体" w:hAnsi="宋体"/>
          <w:bCs/>
          <w:color w:val="000000"/>
          <w:sz w:val="24"/>
          <w:szCs w:val="28"/>
          <w:highlight w:val="none"/>
          <w:lang w:val="en-US" w:eastAsia="zh-CN"/>
        </w:rPr>
        <w:t>5</w:t>
      </w:r>
      <w:r>
        <w:rPr>
          <w:rFonts w:ascii="宋体" w:hAnsi="宋体"/>
          <w:bCs/>
          <w:color w:val="000000"/>
          <w:sz w:val="24"/>
          <w:szCs w:val="28"/>
          <w:highlight w:val="none"/>
        </w:rPr>
        <w:t>-</w:t>
      </w:r>
      <w:r>
        <w:rPr>
          <w:rFonts w:hint="eastAsia"/>
          <w:bCs/>
          <w:color w:val="000000"/>
          <w:sz w:val="24"/>
          <w:szCs w:val="28"/>
          <w:highlight w:val="none"/>
          <w:lang w:val="en-US" w:eastAsia="zh-CN"/>
        </w:rPr>
        <w:t>12</w:t>
      </w:r>
      <w:r>
        <w:rPr>
          <w:rFonts w:ascii="宋体" w:hAnsi="宋体"/>
          <w:bCs/>
          <w:color w:val="000000"/>
          <w:sz w:val="24"/>
          <w:szCs w:val="28"/>
          <w:highlight w:val="none"/>
        </w:rPr>
        <w:t>-</w:t>
      </w:r>
      <w:r>
        <w:rPr>
          <w:rFonts w:hint="eastAsia"/>
          <w:bCs/>
          <w:color w:val="000000"/>
          <w:sz w:val="24"/>
          <w:szCs w:val="28"/>
          <w:highlight w:val="none"/>
          <w:lang w:val="en-US" w:eastAsia="zh-CN"/>
        </w:rPr>
        <w:t xml:space="preserve">09 </w:t>
      </w:r>
      <w:r>
        <w:rPr>
          <w:rFonts w:hint="eastAsia" w:ascii="宋体" w:hAnsi="宋体"/>
          <w:bCs/>
          <w:color w:val="000000"/>
          <w:sz w:val="24"/>
          <w:szCs w:val="28"/>
          <w:highlight w:val="none"/>
          <w:lang w:val="en-US" w:eastAsia="zh-CN"/>
        </w:rPr>
        <w:t xml:space="preserve"> </w:t>
      </w:r>
      <w:r>
        <w:rPr>
          <w:rFonts w:ascii="宋体" w:hAnsi="宋体"/>
          <w:bCs/>
          <w:color w:val="000000"/>
          <w:sz w:val="24"/>
          <w:szCs w:val="28"/>
          <w:highlight w:val="none"/>
        </w:rPr>
        <w:t xml:space="preserve">  9:30</w:t>
      </w:r>
    </w:p>
    <w:p w14:paraId="7F180A74">
      <w:pPr>
        <w:spacing w:line="240" w:lineRule="auto"/>
        <w:ind w:firstLine="480"/>
        <w:rPr>
          <w:rFonts w:ascii="宋体" w:hAnsi="宋体"/>
          <w:bCs/>
          <w:color w:val="000000"/>
          <w:sz w:val="24"/>
          <w:szCs w:val="28"/>
          <w:highlight w:val="none"/>
          <w:u w:val="single"/>
        </w:rPr>
      </w:pPr>
      <w:r>
        <w:rPr>
          <w:rFonts w:hint="eastAsia" w:ascii="宋体" w:hAnsi="宋体"/>
          <w:bCs/>
          <w:color w:val="000000"/>
          <w:sz w:val="24"/>
          <w:szCs w:val="28"/>
          <w:highlight w:val="none"/>
        </w:rPr>
        <w:t>地点</w:t>
      </w:r>
      <w:r>
        <w:rPr>
          <w:rFonts w:hint="eastAsia" w:ascii="宋体" w:hAnsi="宋体" w:cs="宋体"/>
          <w:color w:val="000000"/>
          <w:sz w:val="24"/>
          <w:szCs w:val="28"/>
          <w:highlight w:val="none"/>
        </w:rPr>
        <w:t>：</w:t>
      </w:r>
      <w:bookmarkStart w:id="49" w:name="EBbaa17d39a49c4535bcb10d971b5d2238"/>
      <w:r>
        <w:rPr>
          <w:rFonts w:hint="eastAsia" w:ascii="宋体" w:hAnsi="宋体" w:cs="宋体"/>
          <w:color w:val="000000"/>
          <w:sz w:val="24"/>
          <w:szCs w:val="28"/>
          <w:highlight w:val="none"/>
        </w:rPr>
        <w:t>网上开标大厅</w:t>
      </w:r>
      <w:bookmarkEnd w:id="49"/>
    </w:p>
    <w:p w14:paraId="06B2B407">
      <w:pPr>
        <w:spacing w:line="360" w:lineRule="auto"/>
        <w:ind w:firstLine="400"/>
        <w:rPr>
          <w:rFonts w:hint="eastAsia" w:ascii="宋体" w:hAnsi="宋体"/>
          <w:color w:val="000000"/>
          <w:sz w:val="24"/>
          <w:szCs w:val="28"/>
          <w:highlight w:val="none"/>
        </w:rPr>
      </w:pPr>
      <w:bookmarkStart w:id="50" w:name="EB1a43d0ef6ef8498c9bc7c026536dc3ef"/>
      <w:r>
        <w:rPr>
          <w:rFonts w:hint="eastAsia"/>
          <w:color w:val="000000"/>
          <w:sz w:val="20"/>
          <w:highlight w:val="none"/>
        </w:rPr>
        <w:t xml:space="preserve"> </w:t>
      </w:r>
      <w:bookmarkEnd w:id="50"/>
      <w:bookmarkStart w:id="51" w:name="EB5d58c6b68b964b1fbdb88005dba17f9c"/>
      <w:r>
        <w:rPr>
          <w:rFonts w:hint="eastAsia" w:ascii="宋体" w:hAnsi="宋体"/>
          <w:color w:val="000000"/>
          <w:sz w:val="24"/>
          <w:szCs w:val="28"/>
          <w:highlight w:val="none"/>
        </w:rPr>
        <w:t>☑</w:t>
      </w:r>
      <w:bookmarkEnd w:id="51"/>
      <w:r>
        <w:rPr>
          <w:rFonts w:hint="eastAsia" w:ascii="宋体" w:hAnsi="宋体"/>
          <w:color w:val="000000"/>
          <w:sz w:val="24"/>
          <w:szCs w:val="28"/>
          <w:highlight w:val="none"/>
        </w:rPr>
        <w:t>操作指南：（1）本项目通过苏采云电子交易平台进行采购，供应商</w:t>
      </w:r>
      <w:bookmarkStart w:id="52" w:name="_Hlk143196026"/>
      <w:r>
        <w:rPr>
          <w:rFonts w:hint="eastAsia" w:ascii="宋体" w:hAnsi="宋体"/>
          <w:color w:val="000000"/>
          <w:sz w:val="24"/>
          <w:szCs w:val="28"/>
          <w:highlight w:val="none"/>
        </w:rPr>
        <w:t>须根据“苏采云”系统供应商操作指南（详见江苏省政府采购网—办事指南—资料下载《江苏省政府采购管理交易系统 (苏采云)供应商操作指南》，地址</w:t>
      </w:r>
      <w:r>
        <w:rPr>
          <w:rFonts w:ascii="宋体" w:hAnsi="宋体"/>
          <w:color w:val="000000"/>
          <w:sz w:val="24"/>
          <w:szCs w:val="28"/>
          <w:highlight w:val="none"/>
        </w:rPr>
        <w:t>http://www.ccgp-jiangsu.gov.cn/jiangsu/zlxz/ee/ee3a4bc5a3454aa2b0d9312230633ce9.html</w:t>
      </w:r>
      <w:r>
        <w:rPr>
          <w:rFonts w:hint="eastAsia" w:ascii="宋体" w:hAnsi="宋体"/>
          <w:color w:val="000000"/>
          <w:sz w:val="24"/>
          <w:szCs w:val="28"/>
          <w:highlight w:val="none"/>
        </w:rPr>
        <w:t>）</w:t>
      </w:r>
      <w:bookmarkEnd w:id="52"/>
      <w:r>
        <w:rPr>
          <w:rFonts w:hint="eastAsia" w:ascii="宋体" w:hAnsi="宋体"/>
          <w:color w:val="000000"/>
          <w:sz w:val="24"/>
          <w:szCs w:val="28"/>
          <w:highlight w:val="none"/>
        </w:rPr>
        <w:t>制作并提交磋商响应文件。截至首次响应文件提交截止时间，电子交易平台提交通道将关闭，供应商未完成电子磋商响应文件有效提交的，其磋商将被拒绝。</w:t>
      </w:r>
    </w:p>
    <w:p w14:paraId="4536AD73">
      <w:pPr>
        <w:numPr>
          <w:ilvl w:val="0"/>
          <w:numId w:val="4"/>
        </w:numPr>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本项目采用网上开标方式，请供应商事先做好电脑环境准备，自行选择互联网连接畅通的场地，在规定的开标时间登录“苏采云”系统开标大厅进行磋商文件解密</w:t>
      </w:r>
      <w:r>
        <w:rPr>
          <w:rFonts w:hint="eastAsia" w:ascii="宋体" w:hAnsi="宋体"/>
          <w:color w:val="000000"/>
          <w:sz w:val="24"/>
          <w:szCs w:val="28"/>
          <w:highlight w:val="none"/>
          <w:lang w:eastAsia="zh-CN"/>
        </w:rPr>
        <w:t>。</w:t>
      </w:r>
    </w:p>
    <w:p w14:paraId="0D1ED22D">
      <w:pPr>
        <w:pStyle w:val="188"/>
        <w:jc w:val="left"/>
        <w:rPr>
          <w:rFonts w:hint="eastAsia" w:ascii="宋体" w:hAnsi="宋体" w:eastAsia="宋体" w:cs="Times New Roman"/>
          <w:b/>
          <w:highlight w:val="none"/>
        </w:rPr>
      </w:pPr>
      <w:bookmarkStart w:id="53" w:name="_Toc31519"/>
      <w:r>
        <w:rPr>
          <w:rFonts w:hint="eastAsia" w:ascii="宋体" w:hAnsi="宋体" w:eastAsia="宋体" w:cs="Times New Roman"/>
          <w:b/>
          <w:highlight w:val="none"/>
        </w:rPr>
        <w:t>六、公告期限</w:t>
      </w:r>
      <w:bookmarkEnd w:id="47"/>
      <w:bookmarkEnd w:id="48"/>
      <w:bookmarkEnd w:id="53"/>
    </w:p>
    <w:p w14:paraId="5C58E86A">
      <w:pPr>
        <w:spacing w:line="440" w:lineRule="exact"/>
        <w:ind w:firstLine="480"/>
        <w:rPr>
          <w:rFonts w:ascii="宋体" w:hAnsi="宋体" w:cs="宋体"/>
          <w:sz w:val="24"/>
          <w:szCs w:val="24"/>
          <w:highlight w:val="none"/>
        </w:rPr>
      </w:pPr>
      <w:r>
        <w:rPr>
          <w:rFonts w:hint="eastAsia" w:ascii="宋体" w:hAnsi="宋体" w:cs="宋体"/>
          <w:sz w:val="24"/>
          <w:szCs w:val="24"/>
          <w:highlight w:val="none"/>
        </w:rPr>
        <w:t>自本公告发布之日起3个工作日。</w:t>
      </w:r>
      <w:bookmarkStart w:id="54" w:name="_Toc73365463"/>
      <w:bookmarkStart w:id="55" w:name="_Toc73364850"/>
    </w:p>
    <w:p w14:paraId="3890F50A">
      <w:pPr>
        <w:pStyle w:val="188"/>
        <w:jc w:val="left"/>
        <w:rPr>
          <w:rFonts w:hint="eastAsia" w:ascii="宋体" w:hAnsi="宋体" w:eastAsia="宋体" w:cs="Times New Roman"/>
          <w:b/>
          <w:highlight w:val="none"/>
        </w:rPr>
      </w:pPr>
      <w:bookmarkStart w:id="56" w:name="_Toc27386"/>
      <w:r>
        <w:rPr>
          <w:rFonts w:hint="eastAsia" w:ascii="宋体" w:hAnsi="宋体" w:eastAsia="宋体" w:cs="Times New Roman"/>
          <w:b/>
          <w:highlight w:val="none"/>
          <w:lang w:val="en-US" w:eastAsia="zh-CN"/>
        </w:rPr>
        <w:t>七、</w:t>
      </w:r>
      <w:r>
        <w:rPr>
          <w:rFonts w:hint="eastAsia" w:ascii="宋体" w:hAnsi="宋体" w:eastAsia="宋体" w:cs="Times New Roman"/>
          <w:b/>
          <w:highlight w:val="none"/>
        </w:rPr>
        <w:t>其他补充事宜</w:t>
      </w:r>
      <w:bookmarkEnd w:id="54"/>
      <w:bookmarkEnd w:id="55"/>
      <w:bookmarkEnd w:id="56"/>
      <w:bookmarkStart w:id="57" w:name="EBd0e6d40c4a4141e6a180a8db47a56bc7"/>
      <w:r>
        <w:rPr>
          <w:rFonts w:hint="eastAsia" w:ascii="宋体" w:hAnsi="宋体" w:eastAsia="宋体" w:cs="Times New Roman"/>
          <w:b/>
          <w:highlight w:val="none"/>
        </w:rPr>
        <w:t xml:space="preserve"> </w:t>
      </w:r>
      <w:bookmarkEnd w:id="57"/>
      <w:bookmarkStart w:id="58" w:name="EBe10cc0c27be147bb9adddea2629eb9fe"/>
      <w:r>
        <w:rPr>
          <w:rFonts w:hint="eastAsia" w:ascii="宋体" w:hAnsi="宋体" w:eastAsia="宋体" w:cs="Times New Roman"/>
          <w:b/>
          <w:highlight w:val="none"/>
        </w:rPr>
        <w:t xml:space="preserve"> </w:t>
      </w:r>
      <w:bookmarkEnd w:id="58"/>
    </w:p>
    <w:p w14:paraId="7B323F25">
      <w:pPr>
        <w:spacing w:line="360" w:lineRule="auto"/>
        <w:ind w:firstLine="480"/>
        <w:rPr>
          <w:rFonts w:hint="eastAsia" w:ascii="宋体" w:hAnsi="宋体" w:cs="宋体"/>
          <w:color w:val="000000"/>
          <w:sz w:val="24"/>
          <w:szCs w:val="28"/>
          <w:highlight w:val="none"/>
        </w:rPr>
      </w:pPr>
      <w:r>
        <w:rPr>
          <w:rFonts w:hint="eastAsia" w:ascii="宋体" w:hAnsi="宋体" w:cs="宋体"/>
          <w:color w:val="000000"/>
          <w:sz w:val="24"/>
          <w:szCs w:val="28"/>
          <w:highlight w:val="none"/>
        </w:rPr>
        <w:t>1.</w:t>
      </w:r>
      <w:bookmarkStart w:id="59" w:name="EB2bf543fd4b00441a8657b32532709484"/>
      <w:r>
        <w:rPr>
          <w:rFonts w:hint="eastAsia" w:ascii="宋体" w:hAnsi="宋体" w:cs="宋体"/>
          <w:color w:val="000000"/>
          <w:sz w:val="24"/>
          <w:szCs w:val="28"/>
          <w:highlight w:val="none"/>
        </w:rPr>
        <w:t>本项目无需缴纳磋商保证金。</w:t>
      </w:r>
      <w:bookmarkEnd w:id="59"/>
      <w:bookmarkStart w:id="60" w:name="EB9381322a7a4d46a6b2baa2450ab0d9dc"/>
    </w:p>
    <w:p w14:paraId="420B7AC0">
      <w:pPr>
        <w:spacing w:line="360" w:lineRule="auto"/>
        <w:ind w:firstLine="400"/>
        <w:rPr>
          <w:rFonts w:ascii="宋体" w:hAnsi="宋体" w:cs="宋体"/>
          <w:color w:val="000000"/>
          <w:sz w:val="24"/>
          <w:szCs w:val="28"/>
          <w:highlight w:val="none"/>
        </w:rPr>
      </w:pPr>
      <w:r>
        <w:rPr>
          <w:rFonts w:hint="eastAsia"/>
          <w:color w:val="000000"/>
          <w:sz w:val="20"/>
          <w:highlight w:val="none"/>
        </w:rPr>
        <w:t xml:space="preserve"> </w:t>
      </w:r>
      <w:bookmarkEnd w:id="60"/>
      <w:r>
        <w:rPr>
          <w:rFonts w:hint="eastAsia" w:ascii="宋体" w:hAnsi="宋体" w:cs="宋体"/>
          <w:color w:val="000000"/>
          <w:sz w:val="24"/>
          <w:szCs w:val="28"/>
          <w:highlight w:val="none"/>
        </w:rPr>
        <w:t>2.</w:t>
      </w:r>
      <w:bookmarkStart w:id="61" w:name="EB03e4b49258524c74816a8234453f2b94"/>
      <w:r>
        <w:rPr>
          <w:rFonts w:hint="eastAsia" w:ascii="宋体" w:hAnsi="宋体" w:cs="宋体"/>
          <w:color w:val="000000"/>
          <w:sz w:val="24"/>
          <w:szCs w:val="28"/>
          <w:highlight w:val="none"/>
        </w:rPr>
        <w:t>在投标截止前，请关注江苏政府采购网站有无更正公告，</w:t>
      </w:r>
      <w:bookmarkStart w:id="62" w:name="_Hlk143241916"/>
      <w:r>
        <w:rPr>
          <w:rFonts w:hint="eastAsia" w:ascii="宋体" w:hAnsi="宋体" w:cs="宋体"/>
          <w:color w:val="000000"/>
          <w:sz w:val="24"/>
          <w:szCs w:val="28"/>
          <w:highlight w:val="none"/>
        </w:rPr>
        <w:t>澄清</w:t>
      </w:r>
      <w:bookmarkEnd w:id="62"/>
      <w:r>
        <w:rPr>
          <w:rFonts w:hint="eastAsia" w:ascii="宋体" w:hAnsi="宋体" w:cs="宋体"/>
          <w:color w:val="000000"/>
          <w:sz w:val="24"/>
          <w:szCs w:val="28"/>
          <w:highlight w:val="none"/>
        </w:rPr>
        <w:t>或者修改的内容为本磋商文件的组成部分。</w:t>
      </w:r>
      <w:bookmarkEnd w:id="61"/>
      <w:r>
        <w:rPr>
          <w:rFonts w:hint="eastAsia" w:ascii="宋体" w:hAnsi="宋体" w:cs="宋体"/>
          <w:color w:val="000000"/>
          <w:sz w:val="24"/>
          <w:szCs w:val="28"/>
          <w:highlight w:val="none"/>
        </w:rPr>
        <w:t>因供应商自身原因未能及时获取的，一切后果由供应商自行承担。</w:t>
      </w:r>
    </w:p>
    <w:p w14:paraId="49241BC2">
      <w:pPr>
        <w:spacing w:line="360" w:lineRule="auto"/>
        <w:ind w:firstLine="480"/>
        <w:rPr>
          <w:rFonts w:hint="eastAsia" w:ascii="宋体" w:hAnsi="宋体" w:cs="宋体"/>
          <w:color w:val="000000"/>
          <w:sz w:val="24"/>
          <w:szCs w:val="28"/>
          <w:highlight w:val="none"/>
        </w:rPr>
      </w:pPr>
      <w:r>
        <w:rPr>
          <w:rFonts w:ascii="宋体" w:hAnsi="宋体" w:cs="宋体"/>
          <w:color w:val="000000"/>
          <w:sz w:val="24"/>
          <w:szCs w:val="28"/>
          <w:highlight w:val="none"/>
        </w:rPr>
        <w:t>3</w:t>
      </w:r>
      <w:r>
        <w:rPr>
          <w:rFonts w:hint="eastAsia" w:ascii="宋体" w:hAnsi="宋体" w:cs="宋体"/>
          <w:color w:val="000000"/>
          <w:sz w:val="24"/>
          <w:szCs w:val="28"/>
          <w:highlight w:val="none"/>
        </w:rPr>
        <w:t>.供应商在使用系统进行投标的过程中如遇到涉及平台使用的任何问题，致电技术支持热线咨询，联系方式：0519-86722803。</w:t>
      </w:r>
    </w:p>
    <w:p w14:paraId="04B61B7A">
      <w:pPr>
        <w:spacing w:line="360" w:lineRule="auto"/>
        <w:ind w:firstLine="480"/>
        <w:rPr>
          <w:rFonts w:hint="eastAsia" w:ascii="宋体" w:hAnsi="宋体" w:cs="宋体"/>
          <w:color w:val="000000"/>
          <w:sz w:val="24"/>
          <w:szCs w:val="28"/>
          <w:highlight w:val="none"/>
        </w:rPr>
      </w:pPr>
      <w:r>
        <w:rPr>
          <w:rFonts w:ascii="宋体" w:hAnsi="宋体" w:cs="宋体"/>
          <w:color w:val="000000"/>
          <w:sz w:val="24"/>
          <w:szCs w:val="28"/>
          <w:highlight w:val="none"/>
        </w:rPr>
        <w:t>4</w:t>
      </w:r>
      <w:r>
        <w:rPr>
          <w:rFonts w:hint="eastAsia" w:ascii="宋体" w:hAnsi="宋体" w:cs="宋体"/>
          <w:color w:val="000000"/>
          <w:sz w:val="24"/>
          <w:szCs w:val="28"/>
          <w:highlight w:val="none"/>
        </w:rPr>
        <w:t>.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p>
    <w:p w14:paraId="50CBF7DF">
      <w:pPr>
        <w:spacing w:line="360" w:lineRule="auto"/>
        <w:ind w:firstLine="480"/>
        <w:rPr>
          <w:rFonts w:hint="eastAsia" w:ascii="宋体" w:hAnsi="宋体" w:cs="宋体"/>
          <w:color w:val="000000"/>
          <w:sz w:val="24"/>
          <w:szCs w:val="28"/>
          <w:highlight w:val="none"/>
        </w:rPr>
      </w:pPr>
      <w:r>
        <w:rPr>
          <w:rFonts w:ascii="宋体" w:hAnsi="宋体" w:cs="宋体"/>
          <w:color w:val="000000"/>
          <w:sz w:val="24"/>
          <w:szCs w:val="28"/>
          <w:highlight w:val="none"/>
        </w:rPr>
        <w:t>5</w:t>
      </w:r>
      <w:r>
        <w:rPr>
          <w:rFonts w:hint="eastAsia" w:ascii="宋体" w:hAnsi="宋体" w:cs="宋体"/>
          <w:color w:val="000000"/>
          <w:sz w:val="24"/>
          <w:szCs w:val="28"/>
          <w:highlight w:val="none"/>
        </w:rPr>
        <w:t>.磋商响应文件递交截止时间后，采购代理机构将通过开标会议区发出磋商响应文件解密的指令，供应商在各自地点按规定时间自行实施远程解密，供应商解密限定在响应截止时间后30分钟之间完成。因供应商网络与电源不稳定、未按操作手册要求配置软硬件、解密锁发生故障或用错、故意不在要求时限内完成解密等自身原因，导致磋商响应文件在规定时间内未能解密、解密失败或解密超时，视为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p>
    <w:p w14:paraId="2382EA50">
      <w:pPr>
        <w:spacing w:line="360" w:lineRule="auto"/>
        <w:ind w:firstLine="480"/>
        <w:rPr>
          <w:rFonts w:hint="eastAsia" w:ascii="宋体" w:hAnsi="宋体" w:cs="宋体"/>
          <w:color w:val="000000"/>
          <w:sz w:val="24"/>
          <w:szCs w:val="28"/>
          <w:highlight w:val="none"/>
        </w:rPr>
      </w:pPr>
      <w:r>
        <w:rPr>
          <w:rFonts w:ascii="宋体" w:hAnsi="宋体" w:cs="宋体"/>
          <w:color w:val="000000"/>
          <w:sz w:val="24"/>
          <w:szCs w:val="28"/>
          <w:highlight w:val="none"/>
        </w:rPr>
        <w:t>6</w:t>
      </w:r>
      <w:r>
        <w:rPr>
          <w:rFonts w:hint="eastAsia" w:ascii="宋体" w:hAnsi="宋体" w:cs="宋体"/>
          <w:color w:val="000000"/>
          <w:sz w:val="24"/>
          <w:szCs w:val="28"/>
          <w:highlight w:val="none"/>
        </w:rPr>
        <w:t>.因供应商自身软硬件配备不齐全或发生故障等问题而导致在交互过程中出现不稳定或中断等情况的，由供应商自身承担一切后果。</w:t>
      </w:r>
    </w:p>
    <w:p w14:paraId="19A3289E">
      <w:pPr>
        <w:pStyle w:val="188"/>
        <w:jc w:val="left"/>
        <w:rPr>
          <w:rFonts w:hint="eastAsia" w:ascii="宋体" w:hAnsi="宋体" w:eastAsia="宋体" w:cs="Times New Roman"/>
          <w:b/>
          <w:highlight w:val="none"/>
          <w:lang w:val="en-US" w:eastAsia="zh-CN"/>
        </w:rPr>
      </w:pPr>
      <w:bookmarkStart w:id="63" w:name="_Toc17763"/>
      <w:bookmarkStart w:id="64" w:name="_Toc73364851"/>
      <w:bookmarkStart w:id="65" w:name="_Toc73365464"/>
      <w:r>
        <w:rPr>
          <w:rFonts w:hint="eastAsia" w:ascii="宋体" w:hAnsi="宋体" w:eastAsia="宋体" w:cs="Times New Roman"/>
          <w:b/>
          <w:highlight w:val="none"/>
          <w:lang w:val="en-US" w:eastAsia="zh-CN"/>
        </w:rPr>
        <w:t>八、对本次磋商提出询问，请按以下方式联系。</w:t>
      </w:r>
      <w:bookmarkEnd w:id="63"/>
      <w:bookmarkEnd w:id="64"/>
      <w:bookmarkEnd w:id="65"/>
    </w:p>
    <w:p w14:paraId="6B209C6F">
      <w:pPr>
        <w:widowControl/>
        <w:spacing w:line="440" w:lineRule="exact"/>
        <w:ind w:firstLine="480"/>
        <w:rPr>
          <w:rFonts w:ascii="宋体" w:hAnsi="宋体"/>
          <w:sz w:val="24"/>
          <w:szCs w:val="28"/>
          <w:highlight w:val="none"/>
        </w:rPr>
      </w:pPr>
      <w:r>
        <w:rPr>
          <w:rFonts w:hint="eastAsia" w:ascii="宋体" w:hAnsi="宋体" w:cs="宋体"/>
          <w:sz w:val="24"/>
          <w:szCs w:val="28"/>
          <w:highlight w:val="none"/>
        </w:rPr>
        <w:t>1.采购人信息</w:t>
      </w:r>
    </w:p>
    <w:p w14:paraId="5F489F0A">
      <w:pPr>
        <w:widowControl/>
        <w:spacing w:line="440" w:lineRule="exact"/>
        <w:ind w:firstLine="480"/>
        <w:rPr>
          <w:rFonts w:hint="eastAsia" w:ascii="宋体" w:hAnsi="宋体" w:eastAsia="宋体"/>
          <w:sz w:val="24"/>
          <w:szCs w:val="28"/>
          <w:highlight w:val="none"/>
          <w:lang w:eastAsia="zh-CN"/>
        </w:rPr>
      </w:pPr>
      <w:r>
        <w:rPr>
          <w:rFonts w:hint="eastAsia" w:ascii="宋体" w:hAnsi="宋体"/>
          <w:sz w:val="24"/>
          <w:szCs w:val="28"/>
          <w:highlight w:val="none"/>
        </w:rPr>
        <w:t>名 称：</w:t>
      </w:r>
      <w:r>
        <w:rPr>
          <w:rFonts w:hint="eastAsia"/>
          <w:sz w:val="24"/>
          <w:szCs w:val="28"/>
          <w:highlight w:val="none"/>
          <w:lang w:eastAsia="zh-CN"/>
        </w:rPr>
        <w:t>丹阳市人民医院</w:t>
      </w:r>
    </w:p>
    <w:p w14:paraId="18896FAC">
      <w:pPr>
        <w:widowControl/>
        <w:spacing w:line="440" w:lineRule="exact"/>
        <w:ind w:firstLine="480"/>
        <w:rPr>
          <w:rFonts w:hint="eastAsia" w:ascii="宋体" w:hAnsi="宋体" w:eastAsia="宋体"/>
          <w:sz w:val="24"/>
          <w:szCs w:val="28"/>
          <w:highlight w:val="none"/>
          <w:lang w:eastAsia="zh-CN"/>
        </w:rPr>
      </w:pPr>
      <w:r>
        <w:rPr>
          <w:rFonts w:hint="eastAsia" w:ascii="宋体" w:hAnsi="宋体"/>
          <w:sz w:val="24"/>
          <w:szCs w:val="28"/>
          <w:highlight w:val="none"/>
        </w:rPr>
        <w:t>地 址：</w:t>
      </w:r>
      <w:r>
        <w:rPr>
          <w:rFonts w:hint="eastAsia"/>
          <w:sz w:val="24"/>
          <w:szCs w:val="28"/>
          <w:highlight w:val="none"/>
          <w:lang w:val="en-US" w:eastAsia="zh-CN"/>
        </w:rPr>
        <w:t xml:space="preserve"> </w:t>
      </w:r>
      <w:r>
        <w:rPr>
          <w:rFonts w:hint="eastAsia" w:ascii="宋体" w:hAnsi="宋体" w:eastAsia="宋体" w:cs="宋体"/>
          <w:szCs w:val="21"/>
        </w:rPr>
        <w:t>丹阳市新民西路2号</w:t>
      </w:r>
      <w:r>
        <w:rPr>
          <w:rFonts w:hint="eastAsia" w:ascii="宋体" w:hAnsi="宋体"/>
          <w:sz w:val="24"/>
          <w:szCs w:val="28"/>
          <w:highlight w:val="none"/>
          <w:lang w:val="en-US" w:eastAsia="zh-CN"/>
        </w:rPr>
        <w:t xml:space="preserve"> </w:t>
      </w:r>
    </w:p>
    <w:p w14:paraId="5AD18C6D">
      <w:pPr>
        <w:widowControl/>
        <w:spacing w:line="440" w:lineRule="exact"/>
        <w:ind w:firstLine="480"/>
        <w:rPr>
          <w:rFonts w:hint="eastAsia" w:ascii="宋体" w:hAnsi="宋体" w:eastAsia="宋体"/>
          <w:sz w:val="24"/>
          <w:szCs w:val="28"/>
          <w:highlight w:val="none"/>
          <w:lang w:eastAsia="zh-CN"/>
        </w:rPr>
      </w:pPr>
      <w:r>
        <w:rPr>
          <w:rFonts w:hint="eastAsia" w:ascii="宋体" w:hAnsi="宋体"/>
          <w:sz w:val="24"/>
          <w:szCs w:val="28"/>
          <w:highlight w:val="none"/>
        </w:rPr>
        <w:t>联系方式：</w:t>
      </w:r>
      <w:r>
        <w:rPr>
          <w:rFonts w:hint="eastAsia" w:ascii="宋体" w:hAnsi="宋体" w:eastAsia="宋体" w:cs="宋体"/>
          <w:szCs w:val="21"/>
        </w:rPr>
        <w:t>13952918559</w:t>
      </w:r>
    </w:p>
    <w:p w14:paraId="10DB7D9A">
      <w:pPr>
        <w:widowControl/>
        <w:spacing w:line="440" w:lineRule="exact"/>
        <w:ind w:firstLine="480"/>
        <w:rPr>
          <w:rFonts w:ascii="宋体" w:hAnsi="宋体"/>
          <w:sz w:val="24"/>
          <w:szCs w:val="28"/>
          <w:highlight w:val="none"/>
        </w:rPr>
      </w:pPr>
      <w:r>
        <w:rPr>
          <w:rFonts w:hint="eastAsia" w:ascii="宋体" w:hAnsi="宋体" w:cs="宋体"/>
          <w:sz w:val="24"/>
          <w:szCs w:val="28"/>
          <w:highlight w:val="none"/>
        </w:rPr>
        <w:t>2.采购代理机构信息</w:t>
      </w:r>
    </w:p>
    <w:p w14:paraId="03500089">
      <w:pPr>
        <w:widowControl/>
        <w:spacing w:line="440" w:lineRule="exact"/>
        <w:ind w:firstLine="480"/>
        <w:rPr>
          <w:rFonts w:ascii="宋体" w:hAnsi="宋体"/>
          <w:sz w:val="24"/>
          <w:szCs w:val="28"/>
          <w:highlight w:val="none"/>
        </w:rPr>
      </w:pPr>
      <w:r>
        <w:rPr>
          <w:rFonts w:hint="eastAsia" w:ascii="宋体" w:hAnsi="宋体"/>
          <w:sz w:val="24"/>
          <w:szCs w:val="28"/>
          <w:highlight w:val="none"/>
        </w:rPr>
        <w:t>名 称：江苏正德建设管理有限公司</w:t>
      </w:r>
    </w:p>
    <w:p w14:paraId="35627DFE">
      <w:pPr>
        <w:widowControl/>
        <w:spacing w:line="440" w:lineRule="exact"/>
        <w:ind w:firstLine="480"/>
        <w:rPr>
          <w:rFonts w:ascii="宋体" w:hAnsi="宋体"/>
          <w:sz w:val="24"/>
          <w:szCs w:val="28"/>
          <w:highlight w:val="none"/>
        </w:rPr>
      </w:pPr>
      <w:r>
        <w:rPr>
          <w:rFonts w:hint="eastAsia" w:ascii="宋体" w:hAnsi="宋体"/>
          <w:sz w:val="24"/>
          <w:szCs w:val="28"/>
          <w:highlight w:val="none"/>
        </w:rPr>
        <w:t>地 址：丹阳市开发区兰陵路9号丽都公寓1幢1513室</w:t>
      </w:r>
    </w:p>
    <w:p w14:paraId="375E531C">
      <w:pPr>
        <w:widowControl/>
        <w:spacing w:line="440" w:lineRule="exact"/>
        <w:ind w:firstLine="480"/>
        <w:rPr>
          <w:rFonts w:ascii="宋体" w:hAnsi="宋体"/>
          <w:sz w:val="24"/>
          <w:szCs w:val="28"/>
          <w:highlight w:val="none"/>
        </w:rPr>
      </w:pPr>
      <w:r>
        <w:rPr>
          <w:rFonts w:hint="eastAsia" w:ascii="宋体" w:hAnsi="宋体"/>
          <w:sz w:val="24"/>
          <w:szCs w:val="28"/>
          <w:highlight w:val="none"/>
        </w:rPr>
        <w:t>联系方式：</w:t>
      </w:r>
      <w:r>
        <w:rPr>
          <w:rFonts w:ascii="宋体" w:hAnsi="宋体"/>
          <w:sz w:val="24"/>
          <w:szCs w:val="28"/>
          <w:highlight w:val="none"/>
        </w:rPr>
        <w:t>0511-86</w:t>
      </w:r>
      <w:r>
        <w:rPr>
          <w:rFonts w:hint="eastAsia" w:ascii="宋体" w:hAnsi="宋体"/>
          <w:sz w:val="24"/>
          <w:szCs w:val="28"/>
          <w:highlight w:val="none"/>
          <w:lang w:val="en-US" w:eastAsia="zh-CN"/>
        </w:rPr>
        <w:t>921</w:t>
      </w:r>
      <w:r>
        <w:rPr>
          <w:rFonts w:ascii="宋体" w:hAnsi="宋体"/>
          <w:sz w:val="24"/>
          <w:szCs w:val="28"/>
          <w:highlight w:val="none"/>
        </w:rPr>
        <w:t xml:space="preserve">808 </w:t>
      </w:r>
    </w:p>
    <w:p w14:paraId="76E132C5">
      <w:pPr>
        <w:widowControl/>
        <w:spacing w:line="440" w:lineRule="exact"/>
        <w:ind w:firstLine="480"/>
        <w:rPr>
          <w:rFonts w:ascii="宋体" w:hAnsi="宋体"/>
          <w:sz w:val="24"/>
          <w:szCs w:val="28"/>
          <w:highlight w:val="none"/>
        </w:rPr>
      </w:pPr>
      <w:r>
        <w:rPr>
          <w:rFonts w:hint="eastAsia" w:ascii="宋体" w:hAnsi="宋体" w:cs="宋体"/>
          <w:sz w:val="24"/>
          <w:szCs w:val="28"/>
          <w:highlight w:val="none"/>
        </w:rPr>
        <w:t>3.项目联系方式</w:t>
      </w:r>
    </w:p>
    <w:p w14:paraId="5450F7D7">
      <w:pPr>
        <w:widowControl/>
        <w:spacing w:line="440" w:lineRule="exact"/>
        <w:ind w:firstLine="480"/>
        <w:rPr>
          <w:rFonts w:hint="eastAsia" w:ascii="宋体" w:hAnsi="宋体" w:eastAsia="宋体"/>
          <w:sz w:val="24"/>
          <w:szCs w:val="28"/>
          <w:highlight w:val="none"/>
          <w:lang w:eastAsia="zh-CN"/>
        </w:rPr>
      </w:pPr>
      <w:r>
        <w:rPr>
          <w:rFonts w:hint="eastAsia" w:ascii="宋体" w:hAnsi="宋体"/>
          <w:sz w:val="24"/>
          <w:szCs w:val="28"/>
          <w:highlight w:val="none"/>
        </w:rPr>
        <w:t>项目联系人：</w:t>
      </w:r>
      <w:r>
        <w:rPr>
          <w:rFonts w:hint="eastAsia"/>
          <w:sz w:val="24"/>
          <w:szCs w:val="28"/>
          <w:highlight w:val="none"/>
          <w:lang w:val="en-US" w:eastAsia="zh-CN"/>
        </w:rPr>
        <w:t>陈雪琴</w:t>
      </w:r>
    </w:p>
    <w:p w14:paraId="2BC24629">
      <w:pPr>
        <w:widowControl/>
        <w:spacing w:line="440" w:lineRule="exact"/>
        <w:ind w:firstLine="480"/>
        <w:rPr>
          <w:rFonts w:ascii="宋体" w:hAnsi="宋体"/>
          <w:sz w:val="24"/>
          <w:szCs w:val="28"/>
          <w:highlight w:val="none"/>
        </w:rPr>
      </w:pPr>
      <w:r>
        <w:rPr>
          <w:rFonts w:hint="eastAsia" w:ascii="宋体" w:hAnsi="宋体"/>
          <w:sz w:val="24"/>
          <w:szCs w:val="28"/>
          <w:highlight w:val="none"/>
        </w:rPr>
        <w:t>电话：</w:t>
      </w:r>
      <w:r>
        <w:rPr>
          <w:rFonts w:ascii="宋体" w:hAnsi="宋体"/>
          <w:sz w:val="24"/>
          <w:szCs w:val="28"/>
          <w:highlight w:val="none"/>
        </w:rPr>
        <w:t>0511-86921808</w:t>
      </w:r>
    </w:p>
    <w:p w14:paraId="1212FC71">
      <w:pPr>
        <w:rPr>
          <w:highlight w:val="none"/>
        </w:rPr>
      </w:pPr>
    </w:p>
    <w:p w14:paraId="5EF7009F">
      <w:pPr>
        <w:spacing w:line="360" w:lineRule="auto"/>
        <w:ind w:right="480" w:firstLine="6000"/>
        <w:rPr>
          <w:rFonts w:hint="eastAsia" w:ascii="宋体" w:hAnsi="宋体" w:cs="宋体"/>
          <w:sz w:val="24"/>
          <w:szCs w:val="28"/>
          <w:highlight w:val="none"/>
        </w:rPr>
      </w:pPr>
      <w:r>
        <w:rPr>
          <w:rFonts w:hint="eastAsia" w:ascii="宋体" w:hAnsi="宋体"/>
          <w:sz w:val="24"/>
          <w:highlight w:val="none"/>
        </w:rPr>
        <w:t xml:space="preserve">                                           </w:t>
      </w:r>
    </w:p>
    <w:p w14:paraId="6D9D4298">
      <w:pPr>
        <w:rPr>
          <w:rFonts w:ascii="宋体" w:hAnsi="宋体"/>
          <w:color w:val="000000"/>
          <w:sz w:val="24"/>
          <w:highlight w:val="none"/>
        </w:rPr>
      </w:pPr>
      <w:bookmarkStart w:id="66" w:name="EB73e9be25c0ef4b619196367b2047b8bc"/>
      <w:r>
        <w:rPr>
          <w:rFonts w:hint="eastAsia"/>
          <w:color w:val="000080"/>
          <w:sz w:val="20"/>
          <w:highlight w:val="none"/>
        </w:rPr>
        <w:t xml:space="preserve"> </w:t>
      </w:r>
      <w:bookmarkEnd w:id="66"/>
    </w:p>
    <w:p w14:paraId="58DDBF1E">
      <w:pPr>
        <w:pStyle w:val="187"/>
        <w:jc w:val="center"/>
        <w:rPr>
          <w:rFonts w:hint="eastAsia" w:ascii="宋体" w:hAnsi="宋体"/>
          <w:color w:val="000000"/>
          <w:sz w:val="36"/>
          <w:highlight w:val="none"/>
        </w:rPr>
      </w:pPr>
      <w:bookmarkStart w:id="67" w:name="_Toc73364853"/>
      <w:bookmarkStart w:id="68" w:name="_Toc28972"/>
      <w:bookmarkStart w:id="69" w:name="_Toc73365466"/>
      <w:r>
        <w:rPr>
          <w:rFonts w:hint="eastAsia" w:ascii="宋体" w:hAnsi="宋体"/>
          <w:color w:val="000000"/>
          <w:sz w:val="36"/>
          <w:highlight w:val="none"/>
        </w:rPr>
        <w:t>第二部分  供应商须知</w:t>
      </w:r>
      <w:bookmarkEnd w:id="67"/>
      <w:bookmarkEnd w:id="68"/>
      <w:bookmarkEnd w:id="69"/>
    </w:p>
    <w:p w14:paraId="718A43A4">
      <w:pPr>
        <w:rPr>
          <w:highlight w:val="none"/>
        </w:rPr>
      </w:pPr>
      <w:bookmarkStart w:id="70" w:name="EBa296f577883c4f0bbc5440ff75db1386"/>
      <w:r>
        <w:rPr>
          <w:rFonts w:hint="eastAsia"/>
          <w:color w:val="000080"/>
          <w:sz w:val="20"/>
          <w:highlight w:val="none"/>
        </w:rPr>
        <w:t xml:space="preserve"> </w:t>
      </w:r>
      <w:bookmarkEnd w:id="70"/>
      <w:bookmarkStart w:id="71" w:name="EB5cd81c9ed9c74e6abb08406c193c2747"/>
      <w:r>
        <w:rPr>
          <w:rFonts w:hint="eastAsia"/>
          <w:color w:val="000080"/>
          <w:sz w:val="20"/>
          <w:highlight w:val="none"/>
        </w:rPr>
        <w:t xml:space="preserve"> </w:t>
      </w:r>
      <w:bookmarkEnd w:id="71"/>
    </w:p>
    <w:p w14:paraId="16727329">
      <w:pPr>
        <w:pStyle w:val="188"/>
        <w:rPr>
          <w:rFonts w:ascii="宋体" w:hAnsi="宋体" w:eastAsia="宋体"/>
          <w:color w:val="000000"/>
          <w:sz w:val="32"/>
          <w:highlight w:val="none"/>
        </w:rPr>
      </w:pPr>
      <w:bookmarkStart w:id="72" w:name="_Toc73364854"/>
      <w:bookmarkStart w:id="73" w:name="_Toc20983"/>
      <w:bookmarkStart w:id="74" w:name="_Toc73365467"/>
      <w:r>
        <w:rPr>
          <w:rFonts w:hint="eastAsia" w:ascii="宋体" w:hAnsi="宋体" w:eastAsia="宋体"/>
          <w:color w:val="000000"/>
          <w:sz w:val="32"/>
          <w:highlight w:val="none"/>
        </w:rPr>
        <w:t>一、总  则</w:t>
      </w:r>
      <w:bookmarkEnd w:id="72"/>
      <w:bookmarkEnd w:id="73"/>
      <w:bookmarkEnd w:id="74"/>
    </w:p>
    <w:p w14:paraId="2B60BE67">
      <w:pPr>
        <w:pStyle w:val="189"/>
        <w:keepNext w:val="0"/>
        <w:keepLines w:val="0"/>
        <w:spacing w:before="0" w:after="0" w:line="360" w:lineRule="auto"/>
        <w:ind w:firstLine="446"/>
        <w:rPr>
          <w:rFonts w:ascii="宋体" w:hAnsi="宋体"/>
          <w:color w:val="000000"/>
          <w:sz w:val="30"/>
          <w:highlight w:val="none"/>
        </w:rPr>
      </w:pPr>
      <w:bookmarkStart w:id="75" w:name="_Toc73364855"/>
      <w:bookmarkStart w:id="76" w:name="_Toc917"/>
      <w:bookmarkStart w:id="77" w:name="_Toc73365468"/>
      <w:r>
        <w:rPr>
          <w:rFonts w:hint="eastAsia" w:ascii="宋体" w:hAnsi="宋体"/>
          <w:color w:val="000000"/>
          <w:sz w:val="30"/>
          <w:highlight w:val="none"/>
        </w:rPr>
        <w:t>1．适用范围</w:t>
      </w:r>
      <w:bookmarkEnd w:id="75"/>
      <w:bookmarkEnd w:id="76"/>
      <w:bookmarkEnd w:id="77"/>
    </w:p>
    <w:p w14:paraId="006FE1E4">
      <w:pPr>
        <w:spacing w:line="360" w:lineRule="auto"/>
        <w:ind w:firstLine="480"/>
        <w:rPr>
          <w:rFonts w:ascii="宋体" w:hAnsi="宋体"/>
          <w:color w:val="000000"/>
          <w:sz w:val="24"/>
          <w:highlight w:val="none"/>
        </w:rPr>
      </w:pPr>
      <w:r>
        <w:rPr>
          <w:rFonts w:hint="eastAsia" w:ascii="宋体" w:hAnsi="宋体"/>
          <w:color w:val="000000"/>
          <w:sz w:val="24"/>
          <w:highlight w:val="none"/>
        </w:rPr>
        <w:t>1.1本磋商文件仅适用于</w:t>
      </w:r>
      <w:r>
        <w:rPr>
          <w:rFonts w:hint="eastAsia"/>
          <w:color w:val="0000FF"/>
          <w:sz w:val="24"/>
          <w:highlight w:val="none"/>
          <w:lang w:eastAsia="zh-CN"/>
        </w:rPr>
        <w:t>丹阳市人民医院高压配电房及10KV高压专线（双路）运维服务项目</w:t>
      </w:r>
      <w:r>
        <w:rPr>
          <w:rFonts w:hint="eastAsia" w:ascii="宋体" w:hAnsi="宋体" w:cs="隶书"/>
          <w:color w:val="000000"/>
          <w:sz w:val="24"/>
          <w:highlight w:val="none"/>
        </w:rPr>
        <w:t>。</w:t>
      </w:r>
    </w:p>
    <w:p w14:paraId="57E51ACD">
      <w:pPr>
        <w:pStyle w:val="189"/>
        <w:keepNext w:val="0"/>
        <w:keepLines w:val="0"/>
        <w:spacing w:before="200" w:after="200" w:line="360" w:lineRule="auto"/>
        <w:ind w:firstLine="446"/>
        <w:rPr>
          <w:rFonts w:ascii="宋体" w:hAnsi="宋体"/>
          <w:color w:val="000000"/>
          <w:sz w:val="30"/>
          <w:highlight w:val="none"/>
        </w:rPr>
      </w:pPr>
      <w:bookmarkStart w:id="78" w:name="_Toc73365469"/>
      <w:bookmarkStart w:id="79" w:name="_Toc73364856"/>
      <w:bookmarkStart w:id="80" w:name="_Toc12651"/>
      <w:r>
        <w:rPr>
          <w:rFonts w:hint="eastAsia" w:ascii="宋体" w:hAnsi="宋体"/>
          <w:color w:val="000000"/>
          <w:sz w:val="30"/>
          <w:highlight w:val="none"/>
        </w:rPr>
        <w:t>2．定义</w:t>
      </w:r>
      <w:bookmarkEnd w:id="78"/>
      <w:bookmarkEnd w:id="79"/>
      <w:bookmarkEnd w:id="80"/>
    </w:p>
    <w:p w14:paraId="28EA9130">
      <w:pPr>
        <w:spacing w:line="360" w:lineRule="auto"/>
        <w:ind w:firstLine="480"/>
        <w:rPr>
          <w:rFonts w:ascii="宋体" w:hAnsi="宋体"/>
          <w:color w:val="000000"/>
          <w:sz w:val="24"/>
          <w:highlight w:val="none"/>
        </w:rPr>
      </w:pPr>
      <w:r>
        <w:rPr>
          <w:rFonts w:hint="eastAsia" w:ascii="宋体" w:hAnsi="宋体"/>
          <w:color w:val="000000"/>
          <w:sz w:val="24"/>
          <w:highlight w:val="none"/>
        </w:rPr>
        <w:t>磋商文件中下列术语应解释为：</w:t>
      </w:r>
    </w:p>
    <w:p w14:paraId="5E21EB9A">
      <w:pPr>
        <w:spacing w:line="360" w:lineRule="auto"/>
        <w:ind w:firstLine="480"/>
        <w:rPr>
          <w:rFonts w:ascii="宋体" w:hAnsi="宋体"/>
          <w:color w:val="000000"/>
          <w:sz w:val="24"/>
          <w:highlight w:val="none"/>
        </w:rPr>
      </w:pPr>
      <w:r>
        <w:rPr>
          <w:rFonts w:hint="eastAsia" w:ascii="宋体" w:hAnsi="宋体"/>
          <w:color w:val="000000"/>
          <w:sz w:val="24"/>
          <w:highlight w:val="none"/>
        </w:rPr>
        <w:t>2.1“磋商组织方”系指采购代理机构或采购单位，即：</w:t>
      </w:r>
      <w:r>
        <w:rPr>
          <w:rFonts w:hint="eastAsia" w:ascii="宋体" w:hAnsi="宋体"/>
          <w:color w:val="0000FF"/>
          <w:sz w:val="24"/>
          <w:highlight w:val="none"/>
        </w:rPr>
        <w:t>江苏正德建设管理有限公司</w:t>
      </w:r>
      <w:r>
        <w:rPr>
          <w:rFonts w:hint="eastAsia" w:ascii="宋体" w:hAnsi="宋体"/>
          <w:color w:val="000000"/>
          <w:sz w:val="24"/>
          <w:highlight w:val="none"/>
        </w:rPr>
        <w:t>。</w:t>
      </w:r>
    </w:p>
    <w:p w14:paraId="1618B7AA">
      <w:pPr>
        <w:spacing w:line="360" w:lineRule="auto"/>
        <w:ind w:firstLine="480"/>
        <w:rPr>
          <w:rFonts w:ascii="宋体" w:hAnsi="宋体" w:cs="隶书"/>
          <w:color w:val="000000"/>
          <w:sz w:val="24"/>
          <w:highlight w:val="none"/>
        </w:rPr>
      </w:pPr>
      <w:r>
        <w:rPr>
          <w:rFonts w:hint="eastAsia" w:ascii="宋体" w:hAnsi="宋体"/>
          <w:color w:val="000000"/>
          <w:sz w:val="24"/>
          <w:highlight w:val="none"/>
        </w:rPr>
        <w:t>2.2“采购人”系指依法进行政府采购的国家机关、事业单位、团体组织，即：</w:t>
      </w:r>
      <w:r>
        <w:rPr>
          <w:rFonts w:hint="eastAsia"/>
          <w:color w:val="0000FF"/>
          <w:sz w:val="24"/>
          <w:highlight w:val="none"/>
          <w:lang w:eastAsia="zh-CN"/>
        </w:rPr>
        <w:t>丹阳市人民医院</w:t>
      </w:r>
      <w:r>
        <w:rPr>
          <w:rFonts w:hint="eastAsia" w:ascii="宋体" w:hAnsi="宋体"/>
          <w:color w:val="000000"/>
          <w:sz w:val="24"/>
          <w:highlight w:val="none"/>
        </w:rPr>
        <w:t>。</w:t>
      </w:r>
    </w:p>
    <w:p w14:paraId="0A08B369">
      <w:pPr>
        <w:spacing w:line="360" w:lineRule="auto"/>
        <w:ind w:firstLine="480"/>
        <w:rPr>
          <w:rFonts w:ascii="宋体" w:hAnsi="宋体"/>
          <w:color w:val="000000"/>
          <w:sz w:val="24"/>
          <w:highlight w:val="none"/>
        </w:rPr>
      </w:pPr>
      <w:r>
        <w:rPr>
          <w:rFonts w:hint="eastAsia" w:ascii="宋体" w:hAnsi="宋体"/>
          <w:color w:val="000000"/>
          <w:sz w:val="24"/>
          <w:highlight w:val="none"/>
        </w:rPr>
        <w:t>2.3“供应商”系指向采购人提供货物、工程或者服务的法人、其他组织或者自然人。</w:t>
      </w:r>
    </w:p>
    <w:p w14:paraId="4BCB6963">
      <w:pPr>
        <w:spacing w:line="360" w:lineRule="auto"/>
        <w:ind w:firstLine="480"/>
        <w:rPr>
          <w:rFonts w:hint="eastAsia" w:ascii="宋体" w:hAnsi="宋体"/>
          <w:color w:val="0000FF"/>
          <w:sz w:val="24"/>
          <w:highlight w:val="none"/>
        </w:rPr>
      </w:pPr>
      <w:r>
        <w:rPr>
          <w:rFonts w:hint="eastAsia" w:ascii="宋体" w:hAnsi="宋体"/>
          <w:color w:val="000000"/>
          <w:sz w:val="24"/>
          <w:highlight w:val="none"/>
        </w:rPr>
        <w:t>2.4“服务”系指本磋商文件所述采购标的，即</w:t>
      </w:r>
      <w:bookmarkStart w:id="81" w:name="EBec1f6c4cc37b4caa9954b6d54854e118"/>
      <w:r>
        <w:rPr>
          <w:rFonts w:hint="eastAsia"/>
          <w:color w:val="0000FF"/>
          <w:sz w:val="24"/>
          <w:highlight w:val="none"/>
          <w:lang w:eastAsia="zh-CN"/>
        </w:rPr>
        <w:t>丹阳市人民医院高压配电房及10KV高压专线（双路）运维服务项目</w:t>
      </w:r>
      <w:r>
        <w:rPr>
          <w:rFonts w:hint="eastAsia" w:ascii="宋体" w:hAnsi="宋体"/>
          <w:color w:val="0000FF"/>
          <w:sz w:val="24"/>
          <w:highlight w:val="none"/>
        </w:rPr>
        <w:t>，亦包括磋商文件中特别描述的其它形式的服务。</w:t>
      </w:r>
      <w:bookmarkEnd w:id="81"/>
    </w:p>
    <w:p w14:paraId="55BC4415">
      <w:pPr>
        <w:rPr>
          <w:rFonts w:ascii="宋体" w:hAnsi="宋体"/>
          <w:color w:val="000000"/>
          <w:sz w:val="30"/>
          <w:highlight w:val="none"/>
        </w:rPr>
      </w:pPr>
      <w:bookmarkStart w:id="82" w:name="EB380327a095314e7c8b67f909ffec846b"/>
      <w:r>
        <w:rPr>
          <w:rFonts w:hint="eastAsia"/>
          <w:color w:val="000080"/>
          <w:sz w:val="20"/>
          <w:highlight w:val="none"/>
        </w:rPr>
        <w:t xml:space="preserve"> </w:t>
      </w:r>
      <w:bookmarkEnd w:id="82"/>
      <w:bookmarkStart w:id="83" w:name="_Toc73365470"/>
      <w:bookmarkStart w:id="84" w:name="_Toc73364857"/>
      <w:r>
        <w:rPr>
          <w:rFonts w:hint="eastAsia" w:ascii="宋体" w:hAnsi="宋体"/>
          <w:color w:val="000000"/>
          <w:sz w:val="30"/>
          <w:highlight w:val="none"/>
        </w:rPr>
        <w:t>3．本次采购方式</w:t>
      </w:r>
      <w:bookmarkEnd w:id="83"/>
      <w:bookmarkEnd w:id="84"/>
    </w:p>
    <w:p w14:paraId="0C6FC53C">
      <w:pPr>
        <w:spacing w:line="360" w:lineRule="auto"/>
        <w:ind w:firstLine="480"/>
        <w:rPr>
          <w:rFonts w:ascii="宋体" w:hAnsi="宋体"/>
          <w:color w:val="000000"/>
          <w:sz w:val="24"/>
          <w:highlight w:val="none"/>
        </w:rPr>
      </w:pPr>
      <w:r>
        <w:rPr>
          <w:rFonts w:hint="eastAsia" w:ascii="宋体" w:hAnsi="宋体"/>
          <w:color w:val="000000"/>
          <w:sz w:val="24"/>
          <w:highlight w:val="none"/>
        </w:rPr>
        <w:t>3.1本次采购采取竞争性磋商采购方式：综合评分法。</w:t>
      </w:r>
    </w:p>
    <w:p w14:paraId="730624B9">
      <w:pPr>
        <w:spacing w:line="360" w:lineRule="auto"/>
        <w:ind w:firstLine="480"/>
        <w:rPr>
          <w:rFonts w:ascii="宋体" w:hAnsi="宋体"/>
          <w:color w:val="000000"/>
          <w:sz w:val="24"/>
          <w:highlight w:val="none"/>
        </w:rPr>
      </w:pPr>
      <w:r>
        <w:rPr>
          <w:rFonts w:hint="eastAsia" w:ascii="宋体" w:hAnsi="宋体"/>
          <w:color w:val="000000"/>
          <w:sz w:val="24"/>
          <w:highlight w:val="none"/>
        </w:rPr>
        <w:t>3.2</w:t>
      </w:r>
      <w:r>
        <w:rPr>
          <w:rFonts w:hint="eastAsia" w:ascii="宋体" w:hAnsi="宋体"/>
          <w:color w:val="000000"/>
          <w:sz w:val="24"/>
          <w:szCs w:val="28"/>
          <w:highlight w:val="none"/>
        </w:rPr>
        <w:t>是否接受进口产品：</w:t>
      </w:r>
      <w:bookmarkStart w:id="85" w:name="EBfbc0577293b74fe5905514e3bd3e40cb"/>
      <w:r>
        <w:rPr>
          <w:rFonts w:ascii="宋体" w:hAnsi="宋体"/>
          <w:color w:val="000080"/>
          <w:sz w:val="20"/>
          <w:szCs w:val="28"/>
          <w:highlight w:val="none"/>
        </w:rPr>
        <w:t xml:space="preserve"> </w:t>
      </w:r>
      <w:bookmarkEnd w:id="85"/>
      <w:bookmarkStart w:id="86" w:name="EB1ba279a3e4b14c2e82074c55c6a2d285"/>
      <w:r>
        <w:rPr>
          <w:rFonts w:hint="eastAsia" w:ascii="宋体" w:hAnsi="宋体"/>
          <w:color w:val="0000FF"/>
          <w:sz w:val="24"/>
          <w:szCs w:val="28"/>
          <w:highlight w:val="none"/>
        </w:rPr>
        <w:t>☑</w:t>
      </w:r>
      <w:bookmarkEnd w:id="86"/>
      <w:r>
        <w:rPr>
          <w:rFonts w:hint="eastAsia" w:ascii="宋体" w:hAnsi="宋体"/>
          <w:color w:val="000000"/>
          <w:sz w:val="24"/>
          <w:szCs w:val="28"/>
          <w:highlight w:val="none"/>
        </w:rPr>
        <w:t>否</w:t>
      </w:r>
      <w:bookmarkStart w:id="87" w:name="EBb827a1ee09c24503810ef107662edd9b"/>
      <w:r>
        <w:rPr>
          <w:rFonts w:ascii="宋体" w:hAnsi="宋体"/>
          <w:color w:val="000080"/>
          <w:sz w:val="20"/>
          <w:szCs w:val="28"/>
          <w:highlight w:val="none"/>
        </w:rPr>
        <w:t xml:space="preserve"> </w:t>
      </w:r>
      <w:bookmarkEnd w:id="87"/>
      <w:bookmarkStart w:id="88" w:name="EB864908c2907a43c2b4173db210221033"/>
      <w:r>
        <w:rPr>
          <w:rFonts w:ascii="宋体" w:hAnsi="宋体"/>
          <w:color w:val="000080"/>
          <w:sz w:val="20"/>
          <w:szCs w:val="28"/>
          <w:highlight w:val="none"/>
        </w:rPr>
        <w:t xml:space="preserve"> </w:t>
      </w:r>
      <w:bookmarkEnd w:id="88"/>
      <w:bookmarkStart w:id="89" w:name="EB326aa1936df44aef9d1be4dfa91c7594"/>
      <w:r>
        <w:rPr>
          <w:rFonts w:ascii="宋体" w:hAnsi="宋体"/>
          <w:color w:val="000080"/>
          <w:sz w:val="20"/>
          <w:szCs w:val="28"/>
          <w:highlight w:val="none"/>
        </w:rPr>
        <w:t xml:space="preserve"> </w:t>
      </w:r>
      <w:bookmarkEnd w:id="89"/>
    </w:p>
    <w:p w14:paraId="143B7E70">
      <w:pPr>
        <w:spacing w:line="440" w:lineRule="exact"/>
        <w:ind w:firstLine="480"/>
        <w:rPr>
          <w:rFonts w:ascii="宋体" w:hAnsi="宋体"/>
          <w:color w:val="000000"/>
          <w:sz w:val="24"/>
          <w:szCs w:val="28"/>
          <w:highlight w:val="none"/>
        </w:rPr>
      </w:pPr>
      <w:r>
        <w:rPr>
          <w:rFonts w:hint="eastAsia" w:ascii="宋体" w:hAnsi="宋体"/>
          <w:color w:val="000000"/>
          <w:sz w:val="24"/>
          <w:highlight w:val="none"/>
        </w:rPr>
        <w:t>3.3</w:t>
      </w:r>
      <w:r>
        <w:rPr>
          <w:rFonts w:hint="eastAsia" w:ascii="宋体" w:hAnsi="宋体"/>
          <w:color w:val="000000"/>
          <w:sz w:val="24"/>
          <w:szCs w:val="28"/>
          <w:highlight w:val="none"/>
        </w:rPr>
        <w:t>本项目资格审查方式：</w:t>
      </w:r>
      <w:bookmarkStart w:id="90" w:name="EBaa06e2dffb9b4e47b7dc8c1d0d70eeb2"/>
      <w:r>
        <w:rPr>
          <w:rFonts w:ascii="宋体" w:hAnsi="宋体"/>
          <w:color w:val="000080"/>
          <w:sz w:val="20"/>
          <w:szCs w:val="28"/>
          <w:highlight w:val="none"/>
        </w:rPr>
        <w:t xml:space="preserve"> </w:t>
      </w:r>
      <w:bookmarkEnd w:id="90"/>
      <w:bookmarkStart w:id="91" w:name="EB11922150b52d423b88a89729a9b1ff16"/>
      <w:r>
        <w:rPr>
          <w:rFonts w:hint="eastAsia" w:ascii="宋体" w:hAnsi="宋体"/>
          <w:color w:val="0000FF"/>
          <w:sz w:val="24"/>
          <w:szCs w:val="28"/>
          <w:highlight w:val="none"/>
        </w:rPr>
        <w:t>☑</w:t>
      </w:r>
      <w:bookmarkEnd w:id="91"/>
      <w:r>
        <w:rPr>
          <w:rFonts w:hint="eastAsia" w:ascii="宋体" w:hAnsi="宋体"/>
          <w:color w:val="000000"/>
          <w:sz w:val="24"/>
          <w:szCs w:val="28"/>
          <w:highlight w:val="none"/>
        </w:rPr>
        <w:t>资格后审</w:t>
      </w:r>
      <w:bookmarkStart w:id="92" w:name="EB554d20e884b34f068f9abf5c2900c4d1"/>
      <w:r>
        <w:rPr>
          <w:rFonts w:ascii="宋体" w:hAnsi="宋体"/>
          <w:color w:val="000080"/>
          <w:sz w:val="20"/>
          <w:szCs w:val="28"/>
          <w:highlight w:val="none"/>
        </w:rPr>
        <w:t xml:space="preserve"> </w:t>
      </w:r>
      <w:bookmarkEnd w:id="92"/>
      <w:bookmarkStart w:id="93" w:name="EB95604dcf296947de98be329cdd95192a"/>
      <w:r>
        <w:rPr>
          <w:rFonts w:ascii="宋体" w:hAnsi="宋体"/>
          <w:color w:val="000080"/>
          <w:sz w:val="20"/>
          <w:szCs w:val="28"/>
          <w:highlight w:val="none"/>
        </w:rPr>
        <w:t xml:space="preserve"> </w:t>
      </w:r>
      <w:bookmarkEnd w:id="93"/>
      <w:bookmarkStart w:id="94" w:name="EBeaa6884fb96b4a01bb14112961cfa20a"/>
      <w:r>
        <w:rPr>
          <w:rFonts w:ascii="宋体" w:hAnsi="宋体"/>
          <w:color w:val="000080"/>
          <w:sz w:val="20"/>
          <w:szCs w:val="28"/>
          <w:highlight w:val="none"/>
        </w:rPr>
        <w:t xml:space="preserve"> </w:t>
      </w:r>
      <w:bookmarkEnd w:id="94"/>
    </w:p>
    <w:p w14:paraId="335B388C">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3.4 本次采购确定的成交人数量：</w:t>
      </w:r>
      <w:bookmarkStart w:id="95" w:name="EB239bc7938d02463888f23182e5e568e7"/>
      <w:r>
        <w:rPr>
          <w:rFonts w:hint="eastAsia" w:ascii="宋体" w:hAnsi="宋体"/>
          <w:color w:val="0000FF"/>
          <w:sz w:val="24"/>
          <w:szCs w:val="28"/>
          <w:highlight w:val="none"/>
        </w:rPr>
        <w:t>1名</w:t>
      </w:r>
      <w:bookmarkEnd w:id="95"/>
      <w:r>
        <w:rPr>
          <w:rFonts w:ascii="宋体" w:hAnsi="宋体"/>
          <w:color w:val="000000"/>
          <w:sz w:val="24"/>
          <w:szCs w:val="28"/>
          <w:highlight w:val="none"/>
        </w:rPr>
        <w:t xml:space="preserve"> </w:t>
      </w:r>
    </w:p>
    <w:p w14:paraId="23AC2BD5">
      <w:pPr>
        <w:spacing w:line="360" w:lineRule="auto"/>
        <w:ind w:firstLine="480"/>
        <w:rPr>
          <w:rFonts w:ascii="宋体" w:hAnsi="宋体"/>
          <w:color w:val="000000"/>
          <w:sz w:val="24"/>
          <w:highlight w:val="none"/>
        </w:rPr>
      </w:pPr>
      <w:bookmarkStart w:id="96" w:name="EB65f1af548e51428190f46d10e71d9afc"/>
      <w:r>
        <w:rPr>
          <w:rFonts w:hint="eastAsia" w:ascii="宋体" w:hAnsi="宋体"/>
          <w:color w:val="0000FF"/>
          <w:sz w:val="24"/>
          <w:highlight w:val="none"/>
        </w:rPr>
        <w:t>3.5 本项目是否接受联合体：不接受</w:t>
      </w:r>
      <w:bookmarkEnd w:id="96"/>
    </w:p>
    <w:p w14:paraId="19637955">
      <w:pPr>
        <w:pStyle w:val="189"/>
        <w:keepNext w:val="0"/>
        <w:keepLines w:val="0"/>
        <w:spacing w:line="360" w:lineRule="auto"/>
        <w:ind w:firstLine="446"/>
        <w:rPr>
          <w:rFonts w:ascii="宋体" w:hAnsi="宋体"/>
          <w:color w:val="000000"/>
          <w:sz w:val="30"/>
          <w:highlight w:val="none"/>
        </w:rPr>
      </w:pPr>
      <w:bookmarkStart w:id="97" w:name="_Toc73364858"/>
      <w:bookmarkStart w:id="98" w:name="_Toc73365471"/>
      <w:bookmarkStart w:id="99" w:name="_Toc25544"/>
      <w:r>
        <w:rPr>
          <w:rFonts w:hint="eastAsia" w:ascii="宋体" w:hAnsi="宋体"/>
          <w:color w:val="000000"/>
          <w:sz w:val="30"/>
          <w:highlight w:val="none"/>
        </w:rPr>
        <w:t>4．磋商费用</w:t>
      </w:r>
      <w:bookmarkEnd w:id="97"/>
      <w:bookmarkEnd w:id="98"/>
      <w:bookmarkEnd w:id="99"/>
    </w:p>
    <w:p w14:paraId="022ECCB9">
      <w:pPr>
        <w:spacing w:line="360" w:lineRule="auto"/>
        <w:ind w:firstLine="480"/>
        <w:rPr>
          <w:rFonts w:hint="eastAsia" w:ascii="宋体" w:hAnsi="宋体"/>
          <w:b/>
          <w:color w:val="000000"/>
          <w:sz w:val="24"/>
          <w:highlight w:val="none"/>
        </w:rPr>
      </w:pPr>
      <w:r>
        <w:rPr>
          <w:rFonts w:hint="eastAsia" w:ascii="宋体" w:hAnsi="宋体"/>
          <w:color w:val="000000"/>
          <w:sz w:val="24"/>
          <w:highlight w:val="none"/>
        </w:rPr>
        <w:t>4.1 供应商应自行承担所有与参加磋商有关的费用</w:t>
      </w:r>
      <w:r>
        <w:rPr>
          <w:rFonts w:hint="eastAsia" w:ascii="宋体" w:hAnsi="宋体"/>
          <w:b/>
          <w:color w:val="000000"/>
          <w:sz w:val="24"/>
          <w:highlight w:val="none"/>
        </w:rPr>
        <w:t>。</w:t>
      </w:r>
    </w:p>
    <w:p w14:paraId="64FB5F35">
      <w:pPr>
        <w:rPr>
          <w:rFonts w:hint="eastAsia" w:ascii="宋体" w:hAnsi="宋体" w:eastAsia="宋体"/>
          <w:sz w:val="24"/>
          <w:highlight w:val="none"/>
          <w:lang w:eastAsia="zh-CN"/>
        </w:rPr>
      </w:pPr>
      <w:bookmarkStart w:id="100" w:name="EB40123891a88845fa925ab9b19e3b0236"/>
      <w:r>
        <w:rPr>
          <w:rFonts w:hint="eastAsia"/>
          <w:color w:val="000080"/>
          <w:sz w:val="20"/>
          <w:highlight w:val="none"/>
        </w:rPr>
        <w:t xml:space="preserve"> </w:t>
      </w:r>
      <w:bookmarkEnd w:id="100"/>
      <w:bookmarkStart w:id="101" w:name="EB76acc652300b4a27a9f697d9fa6a68e8"/>
      <w:bookmarkStart w:id="102" w:name="EBec8dff27d11c488cb859d64e4c4c3d0a"/>
      <w:r>
        <w:rPr>
          <w:rFonts w:hint="eastAsia"/>
          <w:color w:val="000080"/>
          <w:sz w:val="20"/>
          <w:highlight w:val="none"/>
          <w:lang w:val="en-US" w:eastAsia="zh-CN"/>
        </w:rPr>
        <w:t xml:space="preserve">         </w:t>
      </w:r>
      <w:r>
        <w:rPr>
          <w:rFonts w:ascii="Segoe UI Symbol" w:hAnsi="Segoe UI Symbol" w:cs="Segoe UI Symbol"/>
          <w:b/>
          <w:color w:val="0000FF"/>
          <w:sz w:val="24"/>
          <w:highlight w:val="none"/>
        </w:rPr>
        <w:t>☑</w:t>
      </w:r>
      <w:bookmarkEnd w:id="101"/>
      <w:r>
        <w:rPr>
          <w:rFonts w:hint="eastAsia" w:ascii="宋体" w:hAnsi="宋体"/>
          <w:sz w:val="24"/>
          <w:highlight w:val="none"/>
        </w:rPr>
        <w:t>成交供应商需向代理机构支付</w:t>
      </w:r>
      <w:r>
        <w:rPr>
          <w:rFonts w:hint="eastAsia"/>
          <w:color w:val="0000FF"/>
          <w:sz w:val="24"/>
          <w:highlight w:val="none"/>
          <w:lang w:val="en-US" w:eastAsia="zh-CN"/>
        </w:rPr>
        <w:t>壹万伍仟</w:t>
      </w:r>
      <w:r>
        <w:rPr>
          <w:rFonts w:hint="eastAsia" w:ascii="宋体" w:hAnsi="宋体"/>
          <w:color w:val="0000FF"/>
          <w:sz w:val="24"/>
          <w:highlight w:val="none"/>
        </w:rPr>
        <w:t>元整</w:t>
      </w:r>
      <w:r>
        <w:rPr>
          <w:rFonts w:hint="eastAsia" w:ascii="宋体" w:hAnsi="宋体"/>
          <w:sz w:val="24"/>
          <w:highlight w:val="none"/>
        </w:rPr>
        <w:t>服务费。</w:t>
      </w:r>
    </w:p>
    <w:p w14:paraId="0E42E159">
      <w:pPr>
        <w:spacing w:line="360" w:lineRule="auto"/>
        <w:ind w:firstLine="1080"/>
        <w:rPr>
          <w:rFonts w:ascii="宋体" w:hAnsi="宋体"/>
          <w:sz w:val="24"/>
          <w:highlight w:val="none"/>
        </w:rPr>
      </w:pPr>
      <w:r>
        <w:rPr>
          <w:rFonts w:hint="eastAsia" w:ascii="宋体" w:hAnsi="宋体"/>
          <w:sz w:val="24"/>
          <w:highlight w:val="none"/>
        </w:rPr>
        <w:t>收费标准：</w:t>
      </w:r>
      <w:bookmarkStart w:id="103" w:name="EBc681592cdeec4079afadb6d706c725dc"/>
      <w:r>
        <w:rPr>
          <w:rFonts w:hint="eastAsia" w:ascii="宋体" w:hAnsi="宋体"/>
          <w:color w:val="0000FF"/>
          <w:sz w:val="24"/>
          <w:highlight w:val="none"/>
          <w:lang w:val="en-US" w:eastAsia="zh-CN"/>
        </w:rPr>
        <w:t>固定总价</w:t>
      </w:r>
      <w:r>
        <w:rPr>
          <w:rFonts w:hint="eastAsia" w:ascii="宋体" w:hAnsi="宋体"/>
          <w:color w:val="0000FF"/>
          <w:sz w:val="24"/>
          <w:highlight w:val="none"/>
        </w:rPr>
        <w:t>。</w:t>
      </w:r>
      <w:bookmarkEnd w:id="103"/>
    </w:p>
    <w:p w14:paraId="20C947C7">
      <w:pPr>
        <w:spacing w:line="360" w:lineRule="auto"/>
        <w:ind w:firstLine="1080"/>
        <w:rPr>
          <w:rFonts w:ascii="宋体" w:hAnsi="宋体"/>
          <w:sz w:val="24"/>
          <w:highlight w:val="none"/>
        </w:rPr>
      </w:pPr>
      <w:r>
        <w:rPr>
          <w:rFonts w:hint="eastAsia" w:ascii="宋体" w:hAnsi="宋体"/>
          <w:sz w:val="24"/>
          <w:highlight w:val="none"/>
        </w:rPr>
        <w:t>磋商代理费用收款信息：</w:t>
      </w:r>
    </w:p>
    <w:p w14:paraId="0FB3E7C9">
      <w:pPr>
        <w:spacing w:line="360" w:lineRule="auto"/>
        <w:ind w:firstLine="1080"/>
        <w:rPr>
          <w:rFonts w:ascii="宋体" w:hAnsi="宋体"/>
          <w:sz w:val="24"/>
          <w:highlight w:val="none"/>
        </w:rPr>
      </w:pPr>
      <w:r>
        <w:rPr>
          <w:rFonts w:hint="eastAsia" w:ascii="宋体" w:hAnsi="宋体"/>
          <w:sz w:val="24"/>
          <w:highlight w:val="none"/>
        </w:rPr>
        <w:t>收款单位：</w:t>
      </w:r>
      <w:bookmarkStart w:id="104" w:name="EBf9c65953d85e4254917bb6f499e6a29b"/>
      <w:r>
        <w:rPr>
          <w:rFonts w:hint="eastAsia" w:ascii="宋体" w:hAnsi="宋体"/>
          <w:color w:val="0000FF"/>
          <w:sz w:val="24"/>
          <w:highlight w:val="none"/>
        </w:rPr>
        <w:t>江苏正德建设管理有限公司</w:t>
      </w:r>
      <w:bookmarkEnd w:id="104"/>
      <w:r>
        <w:rPr>
          <w:rFonts w:hint="eastAsia" w:ascii="宋体" w:hAnsi="宋体"/>
          <w:color w:val="0000FF"/>
          <w:sz w:val="24"/>
          <w:highlight w:val="none"/>
          <w:lang w:val="en-US" w:eastAsia="zh-CN"/>
        </w:rPr>
        <w:t xml:space="preserve">      </w:t>
      </w:r>
      <w:r>
        <w:rPr>
          <w:rFonts w:hint="eastAsia" w:ascii="宋体" w:hAnsi="宋体"/>
          <w:sz w:val="24"/>
          <w:highlight w:val="none"/>
        </w:rPr>
        <w:t>收款账号：</w:t>
      </w:r>
      <w:bookmarkStart w:id="105" w:name="EB9c62cb532ebf4fb38f6816f68745bc45"/>
      <w:r>
        <w:rPr>
          <w:rFonts w:hint="eastAsia" w:ascii="宋体" w:hAnsi="宋体"/>
          <w:color w:val="0000FF"/>
          <w:sz w:val="24"/>
          <w:highlight w:val="none"/>
        </w:rPr>
        <w:t>1104024109200128636</w:t>
      </w:r>
      <w:bookmarkEnd w:id="105"/>
    </w:p>
    <w:p w14:paraId="1D24880D">
      <w:pPr>
        <w:spacing w:line="360" w:lineRule="auto"/>
        <w:ind w:firstLine="1080"/>
        <w:rPr>
          <w:rFonts w:ascii="宋体" w:hAnsi="宋体"/>
          <w:sz w:val="24"/>
          <w:highlight w:val="none"/>
        </w:rPr>
      </w:pPr>
      <w:r>
        <w:rPr>
          <w:rFonts w:hint="eastAsia" w:ascii="宋体" w:hAnsi="宋体"/>
          <w:sz w:val="24"/>
          <w:highlight w:val="none"/>
        </w:rPr>
        <w:t>开户银行：</w:t>
      </w:r>
      <w:bookmarkStart w:id="106" w:name="EBd9fbc3b0f9e343f894984de13d2f83a8"/>
      <w:r>
        <w:rPr>
          <w:rFonts w:hint="eastAsia" w:ascii="宋体" w:hAnsi="宋体"/>
          <w:color w:val="0000FF"/>
          <w:sz w:val="24"/>
          <w:highlight w:val="none"/>
        </w:rPr>
        <w:t>中国工商银行股份有限公司丹阳新城支行</w:t>
      </w:r>
      <w:bookmarkEnd w:id="106"/>
      <w:bookmarkStart w:id="107" w:name="EB9829c725ccab4a68abec520b85a305a7"/>
      <w:r>
        <w:rPr>
          <w:rFonts w:ascii="宋体" w:hAnsi="宋体"/>
          <w:color w:val="000080"/>
          <w:sz w:val="20"/>
          <w:highlight w:val="none"/>
        </w:rPr>
        <w:t xml:space="preserve"> </w:t>
      </w:r>
      <w:bookmarkEnd w:id="107"/>
    </w:p>
    <w:p w14:paraId="7961C216">
      <w:pPr>
        <w:spacing w:line="360" w:lineRule="auto"/>
        <w:ind w:right="-130" w:firstLine="784"/>
        <w:jc w:val="left"/>
        <w:rPr>
          <w:highlight w:val="none"/>
        </w:rPr>
      </w:pPr>
      <w:bookmarkStart w:id="108" w:name="EB0f018bcde86842f2bd23b15156b89723"/>
      <w:r>
        <w:rPr>
          <w:rFonts w:ascii="宋体" w:hAnsi="宋体"/>
          <w:color w:val="000080"/>
          <w:sz w:val="20"/>
          <w:highlight w:val="none"/>
        </w:rPr>
        <w:t xml:space="preserve"> </w:t>
      </w:r>
      <w:bookmarkEnd w:id="108"/>
      <w:bookmarkStart w:id="109" w:name="EB8f1cf77f7a0a4ec5b08abfb14791cce5"/>
      <w:r>
        <w:rPr>
          <w:rFonts w:ascii="宋体" w:hAnsi="宋体"/>
          <w:color w:val="000080"/>
          <w:sz w:val="20"/>
          <w:highlight w:val="none"/>
        </w:rPr>
        <w:t xml:space="preserve"> </w:t>
      </w:r>
      <w:bookmarkEnd w:id="109"/>
      <w:bookmarkStart w:id="110" w:name="EB1249b2be340e41d897cd22eac3d66ec4"/>
      <w:r>
        <w:rPr>
          <w:rFonts w:ascii="宋体" w:hAnsi="宋体"/>
          <w:color w:val="000080"/>
          <w:sz w:val="20"/>
          <w:highlight w:val="none"/>
        </w:rPr>
        <w:t xml:space="preserve"> </w:t>
      </w:r>
      <w:bookmarkEnd w:id="110"/>
      <w:bookmarkStart w:id="111" w:name="EBb47f659e82be47709b502c28169ef757"/>
      <w:r>
        <w:rPr>
          <w:rFonts w:ascii="Segoe UI Symbol" w:hAnsi="Segoe UI Symbol" w:cs="Segoe UI Symbol"/>
          <w:b/>
          <w:color w:val="0000FF"/>
          <w:sz w:val="24"/>
          <w:highlight w:val="none"/>
        </w:rPr>
        <w:t>☑</w:t>
      </w:r>
      <w:bookmarkEnd w:id="111"/>
      <w:r>
        <w:rPr>
          <w:rFonts w:hint="eastAsia" w:ascii="宋体" w:hAnsi="宋体"/>
          <w:sz w:val="24"/>
          <w:highlight w:val="none"/>
        </w:rPr>
        <w:t>数字证书费用</w:t>
      </w:r>
      <w:r>
        <w:rPr>
          <w:rFonts w:hint="eastAsia" w:ascii="宋体" w:hAnsi="宋体"/>
          <w:sz w:val="24"/>
          <w:highlight w:val="none"/>
          <w:lang w:eastAsia="zh-CN"/>
        </w:rPr>
        <w:t>：</w:t>
      </w:r>
      <w:r>
        <w:rPr>
          <w:rFonts w:hint="eastAsia" w:ascii="宋体" w:hAnsi="宋体" w:eastAsia="宋体" w:cs="宋体"/>
          <w:color w:val="0000FF"/>
          <w:sz w:val="24"/>
          <w:szCs w:val="24"/>
          <w:highlight w:val="none"/>
          <w:shd w:val="clear" w:color="auto" w:fill="FFFFFF"/>
        </w:rPr>
        <w:t>按实支付</w:t>
      </w:r>
      <w:r>
        <w:rPr>
          <w:rFonts w:hint="eastAsia" w:ascii="宋体" w:hAnsi="宋体"/>
          <w:b/>
          <w:color w:val="0000FF"/>
          <w:sz w:val="24"/>
          <w:highlight w:val="none"/>
        </w:rPr>
        <w:t xml:space="preserve"> </w:t>
      </w:r>
      <w:bookmarkEnd w:id="102"/>
    </w:p>
    <w:p w14:paraId="727DBF45">
      <w:pPr>
        <w:spacing w:line="360" w:lineRule="auto"/>
        <w:ind w:left="0" w:firstLine="1063"/>
        <w:rPr>
          <w:rFonts w:hint="eastAsia" w:ascii="宋体" w:hAnsi="宋体"/>
          <w:color w:val="0000FF"/>
          <w:sz w:val="24"/>
          <w:highlight w:val="none"/>
        </w:rPr>
      </w:pPr>
      <w:bookmarkStart w:id="112" w:name="EB017f399d9cfe41eca527381953f3e7f4"/>
      <w:r>
        <w:rPr>
          <w:rFonts w:ascii="Segoe UI Symbol" w:hAnsi="Segoe UI Symbol" w:cs="Segoe UI Symbol"/>
          <w:b/>
          <w:color w:val="0000FF"/>
          <w:sz w:val="24"/>
          <w:highlight w:val="none"/>
        </w:rPr>
        <w:t>☑</w:t>
      </w:r>
      <w:bookmarkEnd w:id="112"/>
      <w:r>
        <w:rPr>
          <w:rFonts w:hint="eastAsia" w:ascii="宋体" w:hAnsi="宋体"/>
          <w:color w:val="000000"/>
          <w:sz w:val="24"/>
          <w:highlight w:val="none"/>
        </w:rPr>
        <w:t>其他费用</w:t>
      </w:r>
      <w:r>
        <w:rPr>
          <w:rFonts w:hint="eastAsia" w:ascii="宋体" w:hAnsi="宋体"/>
          <w:color w:val="000000"/>
          <w:sz w:val="24"/>
          <w:highlight w:val="none"/>
          <w:lang w:eastAsia="zh-CN"/>
        </w:rPr>
        <w:t>：</w:t>
      </w:r>
      <w:r>
        <w:rPr>
          <w:rFonts w:hint="eastAsia" w:ascii="宋体" w:hAnsi="宋体"/>
          <w:color w:val="0000FF"/>
          <w:sz w:val="24"/>
          <w:highlight w:val="none"/>
        </w:rPr>
        <w:t>按实支付</w:t>
      </w:r>
    </w:p>
    <w:p w14:paraId="2E936B4C">
      <w:pPr>
        <w:spacing w:line="360" w:lineRule="auto"/>
        <w:ind w:firstLine="480"/>
        <w:rPr>
          <w:rFonts w:ascii="宋体" w:hAnsi="宋体"/>
          <w:color w:val="000000"/>
          <w:sz w:val="24"/>
          <w:highlight w:val="none"/>
        </w:rPr>
      </w:pPr>
      <w:r>
        <w:rPr>
          <w:rFonts w:hint="eastAsia" w:ascii="宋体" w:hAnsi="宋体"/>
          <w:color w:val="000000"/>
          <w:sz w:val="24"/>
          <w:highlight w:val="none"/>
        </w:rPr>
        <w:t>4.2不论磋商的结果如何，磋商组织方在任何情况下均无义务和责任承担上述费用。</w:t>
      </w:r>
    </w:p>
    <w:p w14:paraId="5E3CEF4A">
      <w:pPr>
        <w:pStyle w:val="189"/>
        <w:keepNext w:val="0"/>
        <w:keepLines w:val="0"/>
        <w:spacing w:before="200" w:after="200" w:line="360" w:lineRule="auto"/>
        <w:ind w:firstLine="446"/>
        <w:rPr>
          <w:rFonts w:ascii="宋体" w:hAnsi="宋体"/>
          <w:color w:val="000000"/>
          <w:sz w:val="30"/>
          <w:highlight w:val="none"/>
        </w:rPr>
      </w:pPr>
      <w:bookmarkStart w:id="113" w:name="_Toc19778"/>
      <w:bookmarkStart w:id="114" w:name="_Toc73364859"/>
      <w:bookmarkStart w:id="115" w:name="_Toc73365472"/>
      <w:r>
        <w:rPr>
          <w:rFonts w:hint="eastAsia" w:ascii="宋体" w:hAnsi="宋体"/>
          <w:color w:val="000000"/>
          <w:sz w:val="30"/>
          <w:highlight w:val="none"/>
        </w:rPr>
        <w:t>5．政策功能</w:t>
      </w:r>
      <w:bookmarkEnd w:id="113"/>
      <w:bookmarkEnd w:id="114"/>
      <w:bookmarkEnd w:id="115"/>
    </w:p>
    <w:p w14:paraId="77A3D66F">
      <w:pPr>
        <w:keepNext w:val="0"/>
        <w:keepLines w:val="0"/>
        <w:pageBreakBefore w:val="0"/>
        <w:spacing w:line="360" w:lineRule="auto"/>
        <w:ind w:firstLine="480"/>
        <w:rPr>
          <w:rFonts w:hint="eastAsia" w:ascii="宋体" w:hAnsi="宋体" w:eastAsia="宋体" w:cs="楷体"/>
          <w:sz w:val="24"/>
          <w:highlight w:val="none"/>
        </w:rPr>
      </w:pPr>
      <w:bookmarkStart w:id="116" w:name="EBb58ba9c21455448fab293ab7ccebb5a9"/>
      <w:r>
        <w:rPr>
          <w:rFonts w:hint="eastAsia" w:ascii="宋体" w:hAnsi="宋体" w:eastAsia="宋体" w:cs="楷体"/>
          <w:sz w:val="24"/>
          <w:highlight w:val="none"/>
        </w:rPr>
        <w:t>5.1支持中小企业发展</w:t>
      </w:r>
    </w:p>
    <w:p w14:paraId="3FA06AE4">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1CA25EFA">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符合中小企业划分标准的个体工商户，在政府采购活动中视同中小企业。</w:t>
      </w:r>
    </w:p>
    <w:p w14:paraId="084A341F">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5.1.2在政府采购活动中，投标人提供的货物、工程或者服务符合下列情形的，享受中小企业扶持政策：</w:t>
      </w:r>
    </w:p>
    <w:p w14:paraId="10F3E5FF">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5.1.2.1在货物采购项目中，货物由中小企业制造，即货物由中小企业生产且使用该中小企业商号或者注册商标；</w:t>
      </w:r>
    </w:p>
    <w:p w14:paraId="5517FD09">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5.1.2.2在工程采购项目中，工程由中小企业承建，即工程施工单位为中小企业；</w:t>
      </w:r>
    </w:p>
    <w:p w14:paraId="14F68EAA">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5.1.2.3在服务采购项目中，服务由中小企业承接，即提供服务的人员为中小企业依照《中华人民共和国劳动合同法》订立劳动合同的从业人员。</w:t>
      </w:r>
    </w:p>
    <w:p w14:paraId="541AE91B">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在货物采购项目中，投标人提供的货物既有中小企业制造货物，也有大型企业制造货物的，不享受中小企业扶持政策。</w:t>
      </w:r>
    </w:p>
    <w:p w14:paraId="54DE9CB9">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以联合体形式参加政府采购活动，联合体各方均为中小企业的，联合体视同中小企业。其中，联合体各方均为小微企业的，联合体视同小微企业。</w:t>
      </w:r>
    </w:p>
    <w:p w14:paraId="4064BB37">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5.1.3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楷体"/>
          <w:sz w:val="24"/>
          <w:highlight w:val="none"/>
          <w:lang w:val="en-US" w:eastAsia="zh-CN"/>
        </w:rPr>
        <w:t>10%</w:t>
      </w:r>
      <w:r>
        <w:rPr>
          <w:rFonts w:hint="eastAsia" w:ascii="宋体" w:hAnsi="宋体" w:eastAsia="宋体" w:cs="楷体"/>
          <w:sz w:val="24"/>
          <w:highlight w:val="none"/>
        </w:rPr>
        <w:t>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7B62B327">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5B550E1">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24E60D0">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5.1.6中小企业享受扶持政策获得政府采购合同的，小微企业不得将合同分包给大中型企业，中型企业不得将合同分包给大型企业。</w:t>
      </w:r>
    </w:p>
    <w:p w14:paraId="06882DC5">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5.2强制采购信息安全产品</w:t>
      </w:r>
    </w:p>
    <w:p w14:paraId="711586C7">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信息安全产品指国家质检总局国家认监委《信息安全产品强制性认证目录》，并获得强制性产品认证证书的产品。</w:t>
      </w:r>
    </w:p>
    <w:p w14:paraId="053C7854">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5.3支持绿色发展</w:t>
      </w:r>
    </w:p>
    <w:p w14:paraId="291EAF88">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780C5592">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5.3.2本项目中涉及商品包装和快递包装的，参考《财政部办公厅关于印发《商品包装政府采购需求标准（试行）》、 《快递包装政府采购需求标准（试行）》的通知》（财办库〔2020〕123号）规定的包装需求标准。</w:t>
      </w:r>
    </w:p>
    <w:p w14:paraId="186432C9">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1BBD7977">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5.3.4采购人采购数据中心相关设备、运维服务，按照《绿色数据中心政府采购需求标准（试行）》实施相关采购活动。</w:t>
      </w:r>
    </w:p>
    <w:p w14:paraId="75DE4C4E">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5.4 根据国家扶持中小企业的有关政策，采购项目中标人在履约过程中如遇到资金困难，凭政府采购合同在相关金融机构办理授信申请，相关事宜请查阅“江苏政府采购网---政采贷”网站。</w:t>
      </w:r>
    </w:p>
    <w:p w14:paraId="39A87B7A">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5.5支持创新发展</w:t>
      </w:r>
    </w:p>
    <w:p w14:paraId="28221922">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5.5.1采购人优先采购被认定为重点推广应用、首台（套）重大装备、重点领域首版次软件的自主创新产品。</w:t>
      </w:r>
    </w:p>
    <w:p w14:paraId="71591494">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5.6平等对待内外资企业和符合条件的破产重整企业</w:t>
      </w:r>
    </w:p>
    <w:p w14:paraId="2AFE199E">
      <w:pPr>
        <w:keepNext w:val="0"/>
        <w:keepLines w:val="0"/>
        <w:pageBreakBefore w:val="0"/>
        <w:spacing w:line="360" w:lineRule="auto"/>
        <w:ind w:firstLine="480"/>
        <w:rPr>
          <w:rFonts w:hint="eastAsia" w:ascii="宋体" w:hAnsi="宋体" w:eastAsia="宋体" w:cs="楷体"/>
          <w:sz w:val="24"/>
          <w:highlight w:val="none"/>
        </w:rPr>
      </w:pPr>
      <w:r>
        <w:rPr>
          <w:rFonts w:hint="eastAsia" w:ascii="宋体" w:hAnsi="宋体" w:eastAsia="宋体" w:cs="楷体"/>
          <w:sz w:val="24"/>
          <w:highlight w:val="none"/>
        </w:rPr>
        <w:t>5.6.1平等对待内外资企业和符合条件的破产重整企业，切实保障企业公平竞争，平等维护企业的合法利益。</w:t>
      </w:r>
    </w:p>
    <w:p w14:paraId="5FFA9894">
      <w:pPr>
        <w:spacing w:line="360" w:lineRule="auto"/>
        <w:ind w:firstLine="480"/>
        <w:rPr>
          <w:rFonts w:hint="eastAsia" w:ascii="宋体" w:hAnsi="宋体"/>
          <w:bCs/>
          <w:color w:val="000000"/>
          <w:sz w:val="24"/>
          <w:highlight w:val="none"/>
        </w:rPr>
      </w:pPr>
      <w:r>
        <w:rPr>
          <w:rFonts w:hint="eastAsia" w:ascii="宋体" w:hAnsi="宋体" w:eastAsia="宋体" w:cs="楷体"/>
          <w:sz w:val="24"/>
          <w:highlight w:val="none"/>
        </w:rPr>
        <w:t>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116"/>
    </w:p>
    <w:p w14:paraId="0AFAFAAA">
      <w:pPr>
        <w:rPr>
          <w:highlight w:val="none"/>
        </w:rPr>
      </w:pPr>
      <w:bookmarkStart w:id="117" w:name="EB39beb4a8f399413b834ec4cdb7b2bea0"/>
      <w:r>
        <w:rPr>
          <w:rFonts w:hint="eastAsia"/>
          <w:color w:val="000080"/>
          <w:sz w:val="20"/>
          <w:highlight w:val="none"/>
        </w:rPr>
        <w:t xml:space="preserve"> </w:t>
      </w:r>
      <w:bookmarkEnd w:id="117"/>
    </w:p>
    <w:p w14:paraId="37D95354">
      <w:pPr>
        <w:pStyle w:val="188"/>
        <w:rPr>
          <w:rFonts w:ascii="宋体" w:hAnsi="宋体" w:eastAsia="宋体"/>
          <w:color w:val="000000"/>
          <w:sz w:val="32"/>
          <w:highlight w:val="none"/>
        </w:rPr>
      </w:pPr>
      <w:bookmarkStart w:id="118" w:name="_Toc73364860"/>
      <w:bookmarkStart w:id="119" w:name="_Toc73365473"/>
      <w:bookmarkStart w:id="120" w:name="_Toc12942"/>
      <w:r>
        <w:rPr>
          <w:rFonts w:hint="eastAsia" w:ascii="宋体" w:hAnsi="宋体" w:eastAsia="宋体"/>
          <w:color w:val="000000"/>
          <w:sz w:val="32"/>
          <w:highlight w:val="none"/>
        </w:rPr>
        <w:t>二、磋商文件</w:t>
      </w:r>
      <w:bookmarkEnd w:id="118"/>
      <w:bookmarkEnd w:id="119"/>
      <w:bookmarkEnd w:id="120"/>
    </w:p>
    <w:p w14:paraId="73CA7C44">
      <w:pPr>
        <w:pStyle w:val="189"/>
        <w:keepNext w:val="0"/>
        <w:keepLines w:val="0"/>
        <w:spacing w:before="200" w:after="200" w:line="360" w:lineRule="auto"/>
        <w:ind w:firstLine="446"/>
        <w:rPr>
          <w:rFonts w:ascii="宋体" w:hAnsi="宋体"/>
          <w:color w:val="000000"/>
          <w:sz w:val="30"/>
          <w:highlight w:val="none"/>
        </w:rPr>
      </w:pPr>
      <w:bookmarkStart w:id="121" w:name="_Toc73365474"/>
      <w:bookmarkStart w:id="122" w:name="_Toc29485"/>
      <w:bookmarkStart w:id="123" w:name="_Toc73364861"/>
      <w:r>
        <w:rPr>
          <w:rFonts w:hint="eastAsia" w:ascii="宋体" w:hAnsi="宋体"/>
          <w:color w:val="000000"/>
          <w:sz w:val="30"/>
          <w:highlight w:val="none"/>
        </w:rPr>
        <w:t>6．磋商文件组成</w:t>
      </w:r>
      <w:bookmarkEnd w:id="121"/>
      <w:bookmarkEnd w:id="122"/>
      <w:bookmarkEnd w:id="123"/>
    </w:p>
    <w:p w14:paraId="740AB5DB">
      <w:pPr>
        <w:ind w:firstLine="420"/>
        <w:rPr>
          <w:rFonts w:ascii="宋体" w:hAnsi="宋体"/>
          <w:color w:val="000000"/>
          <w:sz w:val="24"/>
          <w:highlight w:val="none"/>
        </w:rPr>
      </w:pPr>
      <w:r>
        <w:rPr>
          <w:rFonts w:hint="eastAsia" w:ascii="宋体" w:hAnsi="宋体"/>
          <w:color w:val="000000"/>
          <w:sz w:val="24"/>
          <w:highlight w:val="none"/>
        </w:rPr>
        <w:t>6.1磋商文件包括：</w:t>
      </w:r>
    </w:p>
    <w:p w14:paraId="4B4E73AB">
      <w:pPr>
        <w:ind w:firstLine="420"/>
        <w:rPr>
          <w:rFonts w:ascii="宋体" w:hAnsi="宋体"/>
          <w:color w:val="000000"/>
          <w:sz w:val="24"/>
          <w:highlight w:val="none"/>
        </w:rPr>
      </w:pPr>
      <w:r>
        <w:rPr>
          <w:rFonts w:hint="eastAsia" w:ascii="宋体" w:hAnsi="宋体"/>
          <w:color w:val="000000"/>
          <w:sz w:val="24"/>
          <w:highlight w:val="none"/>
        </w:rPr>
        <w:t>（1）磋商邀请</w:t>
      </w:r>
    </w:p>
    <w:p w14:paraId="479E55DE">
      <w:pPr>
        <w:ind w:firstLine="420"/>
        <w:rPr>
          <w:rFonts w:ascii="宋体" w:hAnsi="宋体"/>
          <w:color w:val="000000"/>
          <w:sz w:val="24"/>
          <w:highlight w:val="none"/>
        </w:rPr>
      </w:pPr>
      <w:r>
        <w:rPr>
          <w:rFonts w:hint="eastAsia" w:ascii="宋体" w:hAnsi="宋体"/>
          <w:color w:val="000000"/>
          <w:sz w:val="24"/>
          <w:highlight w:val="none"/>
        </w:rPr>
        <w:t>（2）供应商须知</w:t>
      </w:r>
    </w:p>
    <w:p w14:paraId="18A049CC">
      <w:pPr>
        <w:ind w:firstLine="420"/>
        <w:rPr>
          <w:rFonts w:ascii="宋体" w:hAnsi="宋体"/>
          <w:color w:val="000000"/>
          <w:sz w:val="24"/>
          <w:highlight w:val="none"/>
        </w:rPr>
      </w:pPr>
      <w:r>
        <w:rPr>
          <w:rFonts w:hint="eastAsia" w:ascii="宋体" w:hAnsi="宋体"/>
          <w:color w:val="000000"/>
          <w:sz w:val="24"/>
          <w:highlight w:val="none"/>
        </w:rPr>
        <w:t>（3）合同</w:t>
      </w:r>
    </w:p>
    <w:p w14:paraId="50139D50">
      <w:pPr>
        <w:ind w:firstLine="420"/>
        <w:rPr>
          <w:rFonts w:ascii="宋体" w:hAnsi="宋体"/>
          <w:color w:val="000000"/>
          <w:sz w:val="24"/>
          <w:highlight w:val="none"/>
        </w:rPr>
      </w:pPr>
      <w:r>
        <w:rPr>
          <w:rFonts w:hint="eastAsia" w:ascii="宋体" w:hAnsi="宋体"/>
          <w:color w:val="000000"/>
          <w:sz w:val="24"/>
          <w:highlight w:val="none"/>
        </w:rPr>
        <w:t>（4）采购需求</w:t>
      </w:r>
    </w:p>
    <w:p w14:paraId="79F47068">
      <w:pPr>
        <w:ind w:firstLine="420"/>
        <w:rPr>
          <w:rFonts w:ascii="宋体" w:hAnsi="宋体"/>
          <w:color w:val="000000"/>
          <w:sz w:val="24"/>
          <w:highlight w:val="none"/>
        </w:rPr>
      </w:pPr>
      <w:r>
        <w:rPr>
          <w:rFonts w:hint="eastAsia" w:ascii="宋体" w:hAnsi="宋体"/>
          <w:color w:val="000000"/>
          <w:sz w:val="24"/>
          <w:highlight w:val="none"/>
        </w:rPr>
        <w:t>（5）评审办法和标准</w:t>
      </w:r>
    </w:p>
    <w:p w14:paraId="3C327CDB">
      <w:pPr>
        <w:ind w:firstLine="420"/>
        <w:rPr>
          <w:rFonts w:ascii="宋体" w:hAnsi="宋体"/>
          <w:color w:val="000000"/>
          <w:sz w:val="24"/>
          <w:highlight w:val="none"/>
        </w:rPr>
      </w:pPr>
      <w:r>
        <w:rPr>
          <w:rFonts w:hint="eastAsia" w:ascii="宋体" w:hAnsi="宋体"/>
          <w:color w:val="000000"/>
          <w:sz w:val="24"/>
          <w:highlight w:val="none"/>
        </w:rPr>
        <w:t>（6）磋商响应文件（格式）</w:t>
      </w:r>
    </w:p>
    <w:p w14:paraId="75346C15">
      <w:pPr>
        <w:spacing w:line="360" w:lineRule="auto"/>
        <w:ind w:firstLine="480"/>
        <w:rPr>
          <w:rFonts w:ascii="宋体" w:hAnsi="宋体"/>
          <w:color w:val="000000"/>
          <w:sz w:val="24"/>
          <w:highlight w:val="none"/>
        </w:rPr>
      </w:pPr>
      <w:r>
        <w:rPr>
          <w:rFonts w:hint="eastAsia" w:ascii="宋体" w:hAnsi="宋体"/>
          <w:color w:val="000000"/>
          <w:sz w:val="24"/>
          <w:highlight w:val="none"/>
        </w:rPr>
        <w:t>6.2供应商获取本文件后，应认真阅读本文件中所有的事项、格式条款和规范等要求。</w:t>
      </w:r>
    </w:p>
    <w:p w14:paraId="6F49825C">
      <w:pPr>
        <w:spacing w:line="360" w:lineRule="auto"/>
        <w:ind w:firstLine="480"/>
        <w:rPr>
          <w:rFonts w:ascii="宋体" w:hAnsi="宋体"/>
          <w:color w:val="000000"/>
          <w:sz w:val="24"/>
          <w:highlight w:val="none"/>
        </w:rPr>
      </w:pPr>
      <w:r>
        <w:rPr>
          <w:rFonts w:hint="eastAsia" w:ascii="宋体" w:hAnsi="宋体"/>
          <w:color w:val="000000"/>
          <w:sz w:val="24"/>
          <w:highlight w:val="none"/>
        </w:rPr>
        <w:t>6.3</w:t>
      </w:r>
      <w:r>
        <w:rPr>
          <w:rFonts w:hint="eastAsia" w:ascii="宋体" w:hAnsi="宋体"/>
          <w:b/>
          <w:color w:val="000000"/>
          <w:sz w:val="24"/>
          <w:highlight w:val="none"/>
          <w:u w:val="single"/>
        </w:rPr>
        <w:t>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none"/>
        </w:rPr>
        <w:t>。</w:t>
      </w:r>
    </w:p>
    <w:p w14:paraId="79806834">
      <w:pPr>
        <w:pStyle w:val="189"/>
        <w:keepNext w:val="0"/>
        <w:keepLines w:val="0"/>
        <w:spacing w:before="200" w:after="200" w:line="360" w:lineRule="auto"/>
        <w:ind w:firstLine="446"/>
        <w:rPr>
          <w:rFonts w:ascii="宋体" w:hAnsi="宋体"/>
          <w:color w:val="000000"/>
          <w:sz w:val="30"/>
          <w:highlight w:val="none"/>
        </w:rPr>
      </w:pPr>
      <w:bookmarkStart w:id="124" w:name="_Toc7863"/>
      <w:bookmarkStart w:id="125" w:name="_Toc73364862"/>
      <w:bookmarkStart w:id="126" w:name="_Toc73365475"/>
      <w:r>
        <w:rPr>
          <w:rFonts w:hint="eastAsia" w:ascii="宋体" w:hAnsi="宋体"/>
          <w:color w:val="000000"/>
          <w:sz w:val="30"/>
          <w:highlight w:val="none"/>
        </w:rPr>
        <w:t>7．磋商文件的澄清和修改</w:t>
      </w:r>
      <w:bookmarkEnd w:id="124"/>
      <w:bookmarkEnd w:id="125"/>
      <w:bookmarkEnd w:id="126"/>
    </w:p>
    <w:p w14:paraId="772BD286">
      <w:pPr>
        <w:spacing w:line="360" w:lineRule="auto"/>
        <w:ind w:firstLine="480"/>
        <w:rPr>
          <w:rFonts w:ascii="宋体" w:hAnsi="宋体"/>
          <w:color w:val="000000"/>
          <w:sz w:val="24"/>
          <w:highlight w:val="none"/>
        </w:rPr>
      </w:pPr>
      <w:r>
        <w:rPr>
          <w:rFonts w:hint="eastAsia" w:ascii="宋体" w:hAnsi="宋体"/>
          <w:color w:val="000000"/>
          <w:sz w:val="24"/>
          <w:highlight w:val="none"/>
        </w:rPr>
        <w:t>7.1任何要求对磋商文件进行澄清的供应商，应及时联系项目联系人。</w:t>
      </w:r>
    </w:p>
    <w:p w14:paraId="5ACDAB69">
      <w:pPr>
        <w:spacing w:line="360" w:lineRule="auto"/>
        <w:ind w:firstLine="480"/>
        <w:rPr>
          <w:rFonts w:ascii="宋体" w:hAnsi="宋体"/>
          <w:color w:val="000000"/>
          <w:sz w:val="24"/>
          <w:highlight w:val="none"/>
        </w:rPr>
      </w:pPr>
      <w:r>
        <w:rPr>
          <w:rFonts w:hint="eastAsia" w:ascii="宋体" w:hAnsi="宋体"/>
          <w:color w:val="000000"/>
          <w:sz w:val="24"/>
          <w:highlight w:val="none"/>
        </w:rPr>
        <w:t xml:space="preserve">7.2 </w:t>
      </w:r>
      <w:r>
        <w:rPr>
          <w:rFonts w:hint="eastAsia" w:ascii="宋体" w:hAnsi="宋体"/>
          <w:b/>
          <w:color w:val="000000"/>
          <w:sz w:val="24"/>
          <w:highlight w:val="none"/>
        </w:rPr>
        <w:t>按照权责相一致原则，供应商提出的对于磋商文件主要商务、技术指标的相关澄清、修改要求，由采购人负责答复并视情况作出澄清或修改的决定。</w:t>
      </w:r>
    </w:p>
    <w:p w14:paraId="430329B5">
      <w:pPr>
        <w:spacing w:line="360" w:lineRule="auto"/>
        <w:ind w:firstLine="480"/>
        <w:rPr>
          <w:rFonts w:ascii="宋体" w:hAnsi="宋体"/>
          <w:color w:val="000000"/>
          <w:sz w:val="24"/>
          <w:highlight w:val="none"/>
        </w:rPr>
      </w:pPr>
      <w:r>
        <w:rPr>
          <w:rFonts w:hint="eastAsia" w:ascii="宋体" w:hAnsi="宋体"/>
          <w:color w:val="000000"/>
          <w:sz w:val="24"/>
          <w:highlight w:val="none"/>
        </w:rPr>
        <w:t>7.3磋商组织方可以对已发出的磋商文件进行必要的澄清或者修改。澄清或者修改将在“江苏政府采购网——苏采云平台”网站上发布澄清公告。澄清或者修改的内容为磋商文件的组成部分。</w:t>
      </w:r>
    </w:p>
    <w:p w14:paraId="734F160B">
      <w:pPr>
        <w:spacing w:line="360" w:lineRule="auto"/>
        <w:ind w:firstLine="480"/>
        <w:rPr>
          <w:rFonts w:ascii="宋体" w:hAnsi="宋体"/>
          <w:color w:val="000000"/>
          <w:sz w:val="24"/>
          <w:highlight w:val="none"/>
        </w:rPr>
      </w:pPr>
      <w:r>
        <w:rPr>
          <w:rFonts w:hint="eastAsia" w:ascii="宋体" w:hAnsi="宋体"/>
          <w:color w:val="000000"/>
          <w:sz w:val="24"/>
          <w:highlight w:val="none"/>
        </w:rPr>
        <w:t>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p>
    <w:p w14:paraId="3D8437F0">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7.5如澄清或修改公告有重新发布电子磋商文件的，供应商应下载最新发布的电子磋商文件制作响应文件。</w:t>
      </w:r>
      <w:r>
        <w:rPr>
          <w:rFonts w:ascii="宋体" w:hAnsi="宋体"/>
          <w:b/>
          <w:color w:val="000000"/>
          <w:sz w:val="24"/>
          <w:highlight w:val="none"/>
        </w:rPr>
        <w:t>因供应商自身原因未能及时获取的</w:t>
      </w:r>
      <w:r>
        <w:rPr>
          <w:rFonts w:hint="eastAsia" w:ascii="宋体" w:hAnsi="宋体"/>
          <w:b/>
          <w:color w:val="000000"/>
          <w:sz w:val="24"/>
          <w:highlight w:val="none"/>
        </w:rPr>
        <w:t>，一切后果由供应商自行承担。</w:t>
      </w:r>
    </w:p>
    <w:p w14:paraId="267ADC76">
      <w:pPr>
        <w:rPr>
          <w:highlight w:val="none"/>
        </w:rPr>
      </w:pPr>
      <w:bookmarkStart w:id="127" w:name="EB6b6863424e2e48afbb4b6eb8be474c89"/>
      <w:r>
        <w:rPr>
          <w:rFonts w:hint="eastAsia"/>
          <w:color w:val="000080"/>
          <w:sz w:val="20"/>
          <w:highlight w:val="none"/>
        </w:rPr>
        <w:t xml:space="preserve"> </w:t>
      </w:r>
      <w:bookmarkEnd w:id="127"/>
      <w:bookmarkStart w:id="128" w:name="EB72d70437ecc14e52b97911dcb0eba452"/>
      <w:r>
        <w:rPr>
          <w:rFonts w:hint="eastAsia"/>
          <w:color w:val="000080"/>
          <w:sz w:val="20"/>
          <w:highlight w:val="none"/>
        </w:rPr>
        <w:t xml:space="preserve"> </w:t>
      </w:r>
      <w:bookmarkEnd w:id="128"/>
      <w:bookmarkStart w:id="129" w:name="EB969aaf41be6e4c26b245a30c055e1c52"/>
      <w:r>
        <w:rPr>
          <w:rFonts w:hint="eastAsia"/>
          <w:color w:val="000080"/>
          <w:sz w:val="20"/>
          <w:highlight w:val="none"/>
        </w:rPr>
        <w:t xml:space="preserve"> </w:t>
      </w:r>
      <w:bookmarkEnd w:id="129"/>
    </w:p>
    <w:p w14:paraId="7A77B994">
      <w:pPr>
        <w:pStyle w:val="188"/>
        <w:rPr>
          <w:rFonts w:ascii="宋体" w:hAnsi="宋体" w:eastAsia="宋体"/>
          <w:color w:val="000000"/>
          <w:sz w:val="32"/>
          <w:highlight w:val="none"/>
        </w:rPr>
      </w:pPr>
      <w:bookmarkStart w:id="130" w:name="_Toc22293"/>
      <w:bookmarkStart w:id="131" w:name="_Toc73364863"/>
      <w:bookmarkStart w:id="132" w:name="_Toc73365476"/>
      <w:r>
        <w:rPr>
          <w:rFonts w:hint="eastAsia" w:ascii="宋体" w:hAnsi="宋体" w:eastAsia="宋体"/>
          <w:color w:val="000000"/>
          <w:sz w:val="32"/>
          <w:highlight w:val="none"/>
        </w:rPr>
        <w:t>三、磋商响应文件</w:t>
      </w:r>
      <w:bookmarkEnd w:id="130"/>
      <w:bookmarkEnd w:id="131"/>
      <w:bookmarkEnd w:id="132"/>
    </w:p>
    <w:p w14:paraId="52419BCD">
      <w:pPr>
        <w:pStyle w:val="189"/>
        <w:keepNext w:val="0"/>
        <w:keepLines w:val="0"/>
        <w:spacing w:before="200" w:after="200" w:line="360" w:lineRule="auto"/>
        <w:ind w:firstLine="446"/>
        <w:rPr>
          <w:rFonts w:ascii="宋体" w:hAnsi="宋体"/>
          <w:color w:val="000000"/>
          <w:sz w:val="30"/>
          <w:highlight w:val="none"/>
        </w:rPr>
      </w:pPr>
      <w:bookmarkStart w:id="133" w:name="_Toc13177"/>
      <w:bookmarkStart w:id="134" w:name="_Toc73364864"/>
      <w:bookmarkStart w:id="135" w:name="_Toc73365477"/>
      <w:r>
        <w:rPr>
          <w:rFonts w:hint="eastAsia" w:ascii="宋体" w:hAnsi="宋体"/>
          <w:color w:val="000000"/>
          <w:sz w:val="30"/>
          <w:highlight w:val="none"/>
        </w:rPr>
        <w:t>8．编制响应文件的工具</w:t>
      </w:r>
      <w:bookmarkEnd w:id="133"/>
      <w:bookmarkEnd w:id="134"/>
      <w:bookmarkEnd w:id="135"/>
    </w:p>
    <w:p w14:paraId="45110F91">
      <w:pPr>
        <w:spacing w:line="360" w:lineRule="auto"/>
        <w:ind w:firstLine="480"/>
        <w:rPr>
          <w:rFonts w:ascii="宋体" w:hAnsi="宋体"/>
          <w:color w:val="000000"/>
          <w:sz w:val="24"/>
          <w:highlight w:val="none"/>
        </w:rPr>
      </w:pPr>
      <w:r>
        <w:rPr>
          <w:rFonts w:hint="eastAsia" w:ascii="宋体" w:hAnsi="宋体"/>
          <w:color w:val="000000"/>
          <w:sz w:val="24"/>
          <w:highlight w:val="none"/>
        </w:rPr>
        <w:t>8.1供应商须通过江苏政府采购网-苏采云平台提供的最新响应文件制作软件编制响应文件。</w:t>
      </w:r>
    </w:p>
    <w:p w14:paraId="2FD796CF">
      <w:pPr>
        <w:pStyle w:val="189"/>
        <w:keepNext w:val="0"/>
        <w:keepLines w:val="0"/>
        <w:spacing w:before="200" w:after="200" w:line="360" w:lineRule="auto"/>
        <w:ind w:firstLine="446"/>
        <w:rPr>
          <w:rFonts w:ascii="宋体" w:hAnsi="宋体"/>
          <w:color w:val="000000"/>
          <w:sz w:val="30"/>
          <w:highlight w:val="none"/>
        </w:rPr>
      </w:pPr>
      <w:bookmarkStart w:id="136" w:name="_Toc73365478"/>
      <w:bookmarkStart w:id="137" w:name="_Toc10880"/>
      <w:bookmarkStart w:id="138" w:name="_Toc73364865"/>
      <w:r>
        <w:rPr>
          <w:rFonts w:hint="eastAsia" w:ascii="宋体" w:hAnsi="宋体"/>
          <w:color w:val="000000"/>
          <w:sz w:val="30"/>
          <w:highlight w:val="none"/>
        </w:rPr>
        <w:t>9．响应文件语言及度量衡单位</w:t>
      </w:r>
      <w:bookmarkEnd w:id="136"/>
      <w:bookmarkEnd w:id="137"/>
      <w:bookmarkEnd w:id="138"/>
    </w:p>
    <w:p w14:paraId="7F602A36">
      <w:pPr>
        <w:spacing w:line="360" w:lineRule="auto"/>
        <w:ind w:firstLine="480"/>
        <w:rPr>
          <w:rFonts w:ascii="宋体" w:hAnsi="宋体"/>
          <w:color w:val="000000"/>
          <w:sz w:val="24"/>
          <w:highlight w:val="none"/>
        </w:rPr>
      </w:pPr>
      <w:r>
        <w:rPr>
          <w:rFonts w:hint="eastAsia" w:ascii="宋体" w:hAnsi="宋体"/>
          <w:color w:val="000000"/>
          <w:sz w:val="24"/>
          <w:highlight w:val="none"/>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5210A753">
      <w:pPr>
        <w:spacing w:line="360" w:lineRule="auto"/>
        <w:ind w:firstLine="480"/>
        <w:rPr>
          <w:rFonts w:ascii="宋体" w:hAnsi="宋体"/>
          <w:color w:val="000000"/>
          <w:sz w:val="24"/>
          <w:highlight w:val="none"/>
        </w:rPr>
      </w:pPr>
      <w:r>
        <w:rPr>
          <w:rFonts w:hint="eastAsia" w:ascii="宋体" w:hAnsi="宋体"/>
          <w:color w:val="000000"/>
          <w:sz w:val="24"/>
          <w:highlight w:val="none"/>
        </w:rPr>
        <w:t>9.2响应文件中所使用的计量单位除磋商文件中另有特殊规定外，一律使用法定计量单位。</w:t>
      </w:r>
    </w:p>
    <w:p w14:paraId="26FBA27F">
      <w:pPr>
        <w:pStyle w:val="189"/>
        <w:keepNext w:val="0"/>
        <w:keepLines w:val="0"/>
        <w:spacing w:before="200" w:after="200" w:line="360" w:lineRule="auto"/>
        <w:ind w:firstLine="446"/>
        <w:rPr>
          <w:rFonts w:ascii="宋体" w:hAnsi="宋体"/>
          <w:color w:val="000000"/>
          <w:sz w:val="30"/>
          <w:highlight w:val="none"/>
        </w:rPr>
      </w:pPr>
      <w:bookmarkStart w:id="139" w:name="_Toc73364866"/>
      <w:bookmarkStart w:id="140" w:name="_Toc73365479"/>
      <w:bookmarkStart w:id="141" w:name="_Toc2758"/>
      <w:r>
        <w:rPr>
          <w:rFonts w:hint="eastAsia" w:ascii="宋体" w:hAnsi="宋体"/>
          <w:color w:val="000000"/>
          <w:sz w:val="30"/>
          <w:highlight w:val="none"/>
        </w:rPr>
        <w:t>10．响应文件的构成</w:t>
      </w:r>
      <w:bookmarkEnd w:id="139"/>
      <w:bookmarkEnd w:id="140"/>
      <w:bookmarkEnd w:id="141"/>
    </w:p>
    <w:p w14:paraId="42BFE0C6">
      <w:pPr>
        <w:pStyle w:val="255"/>
        <w:widowControl/>
        <w:spacing w:line="360" w:lineRule="auto"/>
        <w:ind w:firstLine="425"/>
        <w:rPr>
          <w:rFonts w:ascii="宋体" w:hAnsi="宋体"/>
          <w:color w:val="000000"/>
          <w:sz w:val="24"/>
          <w:highlight w:val="none"/>
        </w:rPr>
      </w:pPr>
      <w:r>
        <w:rPr>
          <w:rFonts w:hint="eastAsia" w:ascii="宋体" w:hAnsi="宋体"/>
          <w:color w:val="000000"/>
          <w:sz w:val="24"/>
          <w:highlight w:val="none"/>
        </w:rPr>
        <w:t>10.1响应文件分为资格部分、商务部分和技术部分。</w:t>
      </w:r>
    </w:p>
    <w:p w14:paraId="2E646B4C">
      <w:pPr>
        <w:pStyle w:val="255"/>
        <w:widowControl/>
        <w:spacing w:line="360" w:lineRule="auto"/>
        <w:ind w:firstLine="425"/>
        <w:rPr>
          <w:rFonts w:ascii="宋体" w:hAnsi="宋体"/>
          <w:color w:val="000000"/>
          <w:sz w:val="24"/>
          <w:highlight w:val="none"/>
        </w:rPr>
      </w:pPr>
      <w:r>
        <w:rPr>
          <w:rFonts w:hint="eastAsia" w:ascii="宋体" w:hAnsi="宋体"/>
          <w:color w:val="000000"/>
          <w:sz w:val="24"/>
          <w:highlight w:val="none"/>
        </w:rPr>
        <w:t>10.2资格部分系指供应商提交的证明其有资格参加磋商的文件。</w:t>
      </w:r>
    </w:p>
    <w:p w14:paraId="72837785">
      <w:pPr>
        <w:pStyle w:val="255"/>
        <w:widowControl/>
        <w:spacing w:line="360" w:lineRule="auto"/>
        <w:ind w:firstLine="425"/>
        <w:rPr>
          <w:rFonts w:ascii="宋体" w:hAnsi="宋体"/>
          <w:color w:val="000000"/>
          <w:sz w:val="24"/>
          <w:highlight w:val="none"/>
        </w:rPr>
      </w:pPr>
      <w:r>
        <w:rPr>
          <w:rFonts w:hint="eastAsia" w:ascii="宋体" w:hAnsi="宋体"/>
          <w:color w:val="000000"/>
          <w:sz w:val="24"/>
          <w:highlight w:val="none"/>
        </w:rPr>
        <w:t>10.3商务部分系指供应商提交的证明其成交后有能力履行合同的文件。</w:t>
      </w:r>
    </w:p>
    <w:p w14:paraId="6F536CB7">
      <w:pPr>
        <w:pStyle w:val="255"/>
        <w:widowControl/>
        <w:spacing w:line="360" w:lineRule="auto"/>
        <w:ind w:firstLine="425"/>
        <w:rPr>
          <w:rFonts w:ascii="宋体" w:hAnsi="宋体"/>
          <w:color w:val="000000"/>
          <w:sz w:val="24"/>
          <w:highlight w:val="none"/>
        </w:rPr>
      </w:pPr>
      <w:r>
        <w:rPr>
          <w:rFonts w:hint="eastAsia" w:ascii="宋体" w:hAnsi="宋体"/>
          <w:color w:val="000000"/>
          <w:sz w:val="24"/>
          <w:highlight w:val="none"/>
        </w:rPr>
        <w:t>10.4技术部分系指供应商提交的能够证明其提供的服务（货物）符合磋商文件规定的文件。</w:t>
      </w:r>
    </w:p>
    <w:p w14:paraId="5CD13EF4">
      <w:pPr>
        <w:pStyle w:val="255"/>
        <w:widowControl/>
        <w:spacing w:line="360" w:lineRule="auto"/>
        <w:ind w:firstLine="425"/>
        <w:rPr>
          <w:rFonts w:ascii="宋体" w:hAnsi="宋体"/>
          <w:color w:val="000000"/>
          <w:sz w:val="24"/>
          <w:highlight w:val="none"/>
        </w:rPr>
      </w:pPr>
      <w:r>
        <w:rPr>
          <w:rFonts w:hint="eastAsia" w:ascii="宋体" w:hAnsi="宋体"/>
          <w:color w:val="000000"/>
          <w:sz w:val="24"/>
          <w:highlight w:val="none"/>
        </w:rPr>
        <w:t>10.5具体填写格式详见磋商文件第六部分。</w:t>
      </w:r>
    </w:p>
    <w:p w14:paraId="31484EBF">
      <w:pPr>
        <w:pStyle w:val="189"/>
        <w:keepNext w:val="0"/>
        <w:keepLines w:val="0"/>
        <w:spacing w:before="200" w:after="200" w:line="360" w:lineRule="auto"/>
        <w:ind w:firstLine="446"/>
        <w:rPr>
          <w:rFonts w:ascii="宋体" w:hAnsi="宋体"/>
          <w:color w:val="000000"/>
          <w:sz w:val="30"/>
          <w:highlight w:val="none"/>
        </w:rPr>
      </w:pPr>
      <w:bookmarkStart w:id="142" w:name="_Toc7189"/>
      <w:bookmarkStart w:id="143" w:name="_Toc73365480"/>
      <w:bookmarkStart w:id="144" w:name="_Toc73364867"/>
      <w:r>
        <w:rPr>
          <w:rFonts w:hint="eastAsia" w:ascii="宋体" w:hAnsi="宋体"/>
          <w:color w:val="000000"/>
          <w:sz w:val="30"/>
          <w:highlight w:val="none"/>
        </w:rPr>
        <w:t>11．响应文件的编写</w:t>
      </w:r>
      <w:bookmarkEnd w:id="142"/>
      <w:bookmarkEnd w:id="143"/>
      <w:bookmarkEnd w:id="144"/>
    </w:p>
    <w:p w14:paraId="3C70E57F">
      <w:pPr>
        <w:spacing w:line="360" w:lineRule="auto"/>
        <w:ind w:left="1" w:firstLine="480"/>
        <w:rPr>
          <w:rFonts w:ascii="宋体" w:hAnsi="宋体"/>
          <w:b/>
          <w:color w:val="000000"/>
          <w:sz w:val="24"/>
          <w:highlight w:val="none"/>
        </w:rPr>
      </w:pPr>
      <w:r>
        <w:rPr>
          <w:rFonts w:hint="eastAsia" w:ascii="宋体" w:hAnsi="宋体"/>
          <w:color w:val="000000"/>
          <w:sz w:val="24"/>
          <w:highlight w:val="none"/>
        </w:rPr>
        <w:t>11.1供应商应仔细阅读磋商文件，按照磋商文件的要求编制响应文件。响应文件应当对磋商文件提出的要求和条件作出明确响应。</w:t>
      </w:r>
    </w:p>
    <w:p w14:paraId="5A124081">
      <w:pPr>
        <w:spacing w:line="360" w:lineRule="auto"/>
        <w:ind w:left="1" w:firstLine="480"/>
        <w:rPr>
          <w:rFonts w:ascii="宋体" w:hAnsi="宋体"/>
          <w:b/>
          <w:color w:val="000000"/>
          <w:sz w:val="24"/>
          <w:highlight w:val="none"/>
        </w:rPr>
      </w:pPr>
      <w:r>
        <w:rPr>
          <w:rFonts w:hint="eastAsia" w:ascii="宋体" w:hAnsi="宋体"/>
          <w:color w:val="000000"/>
          <w:sz w:val="24"/>
          <w:highlight w:val="none"/>
        </w:rPr>
        <w:t>11.2</w:t>
      </w:r>
      <w:r>
        <w:rPr>
          <w:rFonts w:hint="eastAsia" w:ascii="宋体" w:hAnsi="宋体"/>
          <w:b/>
          <w:color w:val="000000"/>
          <w:sz w:val="24"/>
          <w:highlight w:val="none"/>
        </w:rPr>
        <w:t>供应商在编制响应文件时，各模块内容须填写或提交到对应位置，无相应内容可填的项应填写“无”、“没有相应指标”等明确的回答文字。</w:t>
      </w:r>
    </w:p>
    <w:p w14:paraId="22A2C55D">
      <w:pPr>
        <w:spacing w:line="360" w:lineRule="auto"/>
        <w:ind w:left="1" w:firstLine="480"/>
        <w:rPr>
          <w:rFonts w:ascii="宋体" w:hAnsi="宋体"/>
          <w:color w:val="000000"/>
          <w:sz w:val="24"/>
          <w:highlight w:val="none"/>
        </w:rPr>
      </w:pPr>
      <w:r>
        <w:rPr>
          <w:rFonts w:hint="eastAsia" w:ascii="宋体" w:hAnsi="宋体"/>
          <w:color w:val="000000"/>
          <w:sz w:val="24"/>
          <w:highlight w:val="none"/>
        </w:rPr>
        <w:t>11.3响应文件编排混乱、文字表达不清或上传资料内容模糊所引起的不利后果，由供应商自行承担。</w:t>
      </w:r>
    </w:p>
    <w:p w14:paraId="6C95F49A">
      <w:pPr>
        <w:spacing w:line="360" w:lineRule="auto"/>
        <w:ind w:left="1" w:firstLine="480"/>
        <w:rPr>
          <w:rFonts w:ascii="宋体" w:hAnsi="宋体"/>
          <w:b/>
          <w:color w:val="000000"/>
          <w:sz w:val="24"/>
          <w:highlight w:val="none"/>
        </w:rPr>
      </w:pPr>
      <w:r>
        <w:rPr>
          <w:rFonts w:hint="eastAsia" w:ascii="宋体" w:hAnsi="宋体"/>
          <w:color w:val="000000"/>
          <w:sz w:val="24"/>
          <w:highlight w:val="none"/>
        </w:rPr>
        <w:t>11.4</w:t>
      </w:r>
      <w:r>
        <w:rPr>
          <w:rFonts w:hint="eastAsia" w:ascii="宋体" w:hAnsi="宋体"/>
          <w:b/>
          <w:color w:val="000000"/>
          <w:sz w:val="24"/>
          <w:highlight w:val="none"/>
        </w:rPr>
        <w:t>供应商必须保证响应文件所提供的全部资料合法、真实、可靠。</w:t>
      </w:r>
    </w:p>
    <w:p w14:paraId="350AA905">
      <w:pPr>
        <w:pStyle w:val="189"/>
        <w:keepNext w:val="0"/>
        <w:keepLines w:val="0"/>
        <w:tabs>
          <w:tab w:val="left" w:pos="5191"/>
        </w:tabs>
        <w:spacing w:before="200" w:after="200" w:line="360" w:lineRule="auto"/>
        <w:ind w:firstLine="446"/>
        <w:rPr>
          <w:rFonts w:ascii="宋体" w:hAnsi="宋体"/>
          <w:color w:val="000000"/>
          <w:sz w:val="30"/>
          <w:highlight w:val="none"/>
        </w:rPr>
      </w:pPr>
      <w:bookmarkStart w:id="145" w:name="_Toc73364868"/>
      <w:bookmarkStart w:id="146" w:name="_Toc73365481"/>
      <w:bookmarkStart w:id="147" w:name="_Toc2872"/>
      <w:r>
        <w:rPr>
          <w:rFonts w:hint="eastAsia" w:ascii="宋体" w:hAnsi="宋体"/>
          <w:color w:val="000000"/>
          <w:sz w:val="30"/>
          <w:highlight w:val="none"/>
        </w:rPr>
        <w:t>12．响应报价</w:t>
      </w:r>
      <w:bookmarkEnd w:id="145"/>
      <w:bookmarkEnd w:id="146"/>
      <w:bookmarkEnd w:id="147"/>
      <w:r>
        <w:rPr>
          <w:rFonts w:ascii="宋体" w:hAnsi="宋体"/>
          <w:color w:val="000000"/>
          <w:sz w:val="30"/>
          <w:highlight w:val="none"/>
        </w:rPr>
        <w:tab/>
      </w:r>
    </w:p>
    <w:p w14:paraId="54A94244">
      <w:pPr>
        <w:spacing w:line="360" w:lineRule="auto"/>
        <w:ind w:left="2" w:firstLine="480"/>
        <w:rPr>
          <w:rFonts w:hint="eastAsia" w:ascii="宋体" w:hAnsi="宋体" w:eastAsia="宋体" w:cs="Times New Roman"/>
          <w:color w:val="0000FF"/>
          <w:sz w:val="24"/>
          <w:highlight w:val="none"/>
        </w:rPr>
      </w:pPr>
      <w:bookmarkStart w:id="148" w:name="EBdf1224c9869e4463a955117a0de4c3b6"/>
      <w:r>
        <w:rPr>
          <w:rFonts w:hint="eastAsia" w:ascii="宋体" w:hAnsi="宋体"/>
          <w:color w:val="0000FF"/>
          <w:sz w:val="24"/>
          <w:highlight w:val="none"/>
        </w:rPr>
        <w:t>1</w:t>
      </w:r>
      <w:r>
        <w:rPr>
          <w:rFonts w:hint="eastAsia" w:ascii="宋体" w:hAnsi="宋体" w:eastAsia="宋体" w:cs="Times New Roman"/>
          <w:color w:val="0000FF"/>
          <w:sz w:val="24"/>
          <w:highlight w:val="none"/>
        </w:rPr>
        <w:t>2.1磋商应以人民币报价（保留至小数点后2位，四舍五入）。</w:t>
      </w:r>
    </w:p>
    <w:p w14:paraId="1A98E3A5">
      <w:pPr>
        <w:spacing w:line="360" w:lineRule="auto"/>
        <w:ind w:left="2" w:firstLine="480"/>
        <w:rPr>
          <w:rFonts w:hint="eastAsia" w:ascii="宋体" w:hAnsi="宋体" w:eastAsia="宋体" w:cs="Times New Roman"/>
          <w:color w:val="0000FF"/>
          <w:sz w:val="24"/>
          <w:highlight w:val="none"/>
        </w:rPr>
      </w:pPr>
      <w:r>
        <w:rPr>
          <w:rFonts w:hint="eastAsia" w:ascii="宋体" w:hAnsi="宋体" w:eastAsia="宋体" w:cs="Times New Roman"/>
          <w:color w:val="0000FF"/>
          <w:sz w:val="24"/>
          <w:highlight w:val="none"/>
        </w:rPr>
        <w:t xml:space="preserve">12.2供应商应按磋商文件所提供的各报价表格式报价。 </w:t>
      </w:r>
    </w:p>
    <w:p w14:paraId="29CDDA57">
      <w:pPr>
        <w:spacing w:line="360" w:lineRule="auto"/>
        <w:ind w:left="2" w:firstLine="480"/>
        <w:rPr>
          <w:rFonts w:hint="eastAsia" w:ascii="宋体" w:hAnsi="宋体" w:eastAsia="宋体" w:cs="Times New Roman"/>
          <w:color w:val="0000FF"/>
          <w:sz w:val="24"/>
          <w:highlight w:val="none"/>
        </w:rPr>
      </w:pPr>
      <w:r>
        <w:rPr>
          <w:rFonts w:hint="eastAsia" w:ascii="宋体" w:hAnsi="宋体" w:eastAsia="宋体" w:cs="Times New Roman"/>
          <w:color w:val="0000FF"/>
          <w:sz w:val="24"/>
          <w:highlight w:val="none"/>
        </w:rPr>
        <w:t>12.3供应商对本项目应报出最具有竞争力的价格，应包括本次磋商要求提供货物(服务)已支付或将支付的所有费用。同时，除非合同条款中另有规定，否则，供应商所报价格在合同实施期间不因市场变化因素而变动。在合同实施时，采购人将不予支付成交供应商没有填列的项目费用，并认为此项目的费用已包括在投标价格中。</w:t>
      </w:r>
    </w:p>
    <w:p w14:paraId="474A5306">
      <w:pPr>
        <w:spacing w:line="360" w:lineRule="auto"/>
        <w:ind w:left="2" w:firstLine="480"/>
        <w:rPr>
          <w:rFonts w:hint="eastAsia" w:ascii="宋体" w:hAnsi="宋体" w:eastAsia="宋体" w:cs="Times New Roman"/>
          <w:color w:val="0000FF"/>
          <w:sz w:val="24"/>
          <w:highlight w:val="none"/>
        </w:rPr>
      </w:pPr>
      <w:r>
        <w:rPr>
          <w:rFonts w:hint="eastAsia" w:ascii="宋体" w:hAnsi="宋体" w:eastAsia="宋体" w:cs="Times New Roman"/>
          <w:color w:val="0000FF"/>
          <w:sz w:val="24"/>
          <w:highlight w:val="none"/>
        </w:rPr>
        <w:t xml:space="preserve">12.4供应商应按磋商文件的要求在响应文件里提供磋商首轮报价，并根据首轮报价在所附的首轮明细报价表上列明明细报价。供应商需根据项目需求及自身经验填写明细报价。 </w:t>
      </w:r>
    </w:p>
    <w:p w14:paraId="39BF0805">
      <w:pPr>
        <w:spacing w:line="360" w:lineRule="auto"/>
        <w:ind w:left="2" w:firstLine="480"/>
        <w:rPr>
          <w:rFonts w:hint="eastAsia" w:ascii="宋体" w:hAnsi="宋体" w:eastAsia="宋体" w:cs="Times New Roman"/>
          <w:color w:val="0000FF"/>
          <w:sz w:val="24"/>
          <w:highlight w:val="none"/>
        </w:rPr>
      </w:pPr>
      <w:r>
        <w:rPr>
          <w:rFonts w:hint="eastAsia" w:ascii="宋体" w:hAnsi="宋体" w:eastAsia="宋体" w:cs="Times New Roman"/>
          <w:color w:val="0000FF"/>
          <w:sz w:val="24"/>
          <w:highlight w:val="none"/>
        </w:rPr>
        <w:t>12.</w:t>
      </w:r>
      <w:r>
        <w:rPr>
          <w:rFonts w:hint="eastAsia" w:ascii="宋体" w:hAnsi="宋体" w:eastAsia="宋体" w:cs="Times New Roman"/>
          <w:color w:val="0000FF"/>
          <w:sz w:val="24"/>
          <w:highlight w:val="none"/>
          <w:lang w:val="en-US" w:eastAsia="zh-CN"/>
        </w:rPr>
        <w:t>5</w:t>
      </w:r>
      <w:r>
        <w:rPr>
          <w:rFonts w:hint="eastAsia" w:ascii="宋体" w:hAnsi="宋体" w:eastAsia="宋体" w:cs="Times New Roman"/>
          <w:color w:val="0000FF"/>
          <w:sz w:val="24"/>
          <w:highlight w:val="none"/>
        </w:rPr>
        <w:t>最低磋商报价不能作为成交的唯一保证。</w:t>
      </w:r>
    </w:p>
    <w:p w14:paraId="09DC2089">
      <w:pPr>
        <w:spacing w:line="360" w:lineRule="auto"/>
        <w:ind w:left="2" w:firstLine="480"/>
        <w:rPr>
          <w:rFonts w:hint="eastAsia" w:ascii="宋体" w:hAnsi="宋体" w:eastAsia="宋体" w:cs="Times New Roman"/>
          <w:color w:val="0000FF"/>
          <w:sz w:val="24"/>
          <w:highlight w:val="none"/>
        </w:rPr>
      </w:pPr>
      <w:r>
        <w:rPr>
          <w:rFonts w:hint="eastAsia" w:ascii="宋体" w:hAnsi="宋体" w:eastAsia="宋体" w:cs="Times New Roman"/>
          <w:color w:val="0000FF"/>
          <w:sz w:val="24"/>
          <w:highlight w:val="none"/>
        </w:rPr>
        <w:t>12.</w:t>
      </w:r>
      <w:r>
        <w:rPr>
          <w:rFonts w:hint="eastAsia" w:ascii="宋体" w:hAnsi="宋体" w:eastAsia="宋体" w:cs="Times New Roman"/>
          <w:color w:val="0000FF"/>
          <w:sz w:val="24"/>
          <w:highlight w:val="none"/>
          <w:lang w:val="en-US" w:eastAsia="zh-CN"/>
        </w:rPr>
        <w:t>6</w:t>
      </w:r>
      <w:r>
        <w:rPr>
          <w:rFonts w:hint="eastAsia" w:ascii="宋体" w:hAnsi="宋体" w:eastAsia="宋体" w:cs="Times New Roman"/>
          <w:color w:val="0000FF"/>
          <w:sz w:val="24"/>
          <w:highlight w:val="none"/>
        </w:rPr>
        <w:t>磋商最后报价即为合同签约价。</w:t>
      </w:r>
      <w:bookmarkEnd w:id="148"/>
    </w:p>
    <w:p w14:paraId="12B1C62F">
      <w:pPr>
        <w:pStyle w:val="189"/>
        <w:keepNext w:val="0"/>
        <w:keepLines w:val="0"/>
        <w:tabs>
          <w:tab w:val="left" w:pos="5191"/>
        </w:tabs>
        <w:spacing w:before="200" w:after="200" w:line="360" w:lineRule="auto"/>
        <w:ind w:firstLine="446"/>
        <w:rPr>
          <w:rFonts w:ascii="宋体" w:hAnsi="宋体"/>
          <w:color w:val="000000"/>
          <w:sz w:val="30"/>
          <w:highlight w:val="none"/>
        </w:rPr>
      </w:pPr>
      <w:bookmarkStart w:id="149" w:name="_Toc73365482"/>
      <w:bookmarkStart w:id="150" w:name="_Toc73364869"/>
      <w:bookmarkStart w:id="151" w:name="_Toc26699"/>
      <w:r>
        <w:rPr>
          <w:rFonts w:hint="eastAsia" w:ascii="宋体" w:hAnsi="宋体"/>
          <w:color w:val="000000"/>
          <w:sz w:val="30"/>
          <w:highlight w:val="none"/>
        </w:rPr>
        <w:t>13．磋商保证金</w:t>
      </w:r>
      <w:bookmarkEnd w:id="149"/>
      <w:bookmarkEnd w:id="150"/>
      <w:bookmarkEnd w:id="151"/>
    </w:p>
    <w:p w14:paraId="3E57CD3A">
      <w:pPr>
        <w:spacing w:line="360" w:lineRule="auto"/>
        <w:ind w:firstLine="480"/>
        <w:rPr>
          <w:rFonts w:ascii="宋体" w:hAnsi="宋体"/>
          <w:color w:val="000000"/>
          <w:sz w:val="24"/>
          <w:highlight w:val="none"/>
        </w:rPr>
      </w:pPr>
      <w:bookmarkStart w:id="152" w:name="EBffce9a1083124a32b81da965a376b38b"/>
      <w:r>
        <w:rPr>
          <w:rFonts w:hint="eastAsia" w:ascii="宋体" w:hAnsi="宋体"/>
          <w:color w:val="0000FF"/>
          <w:sz w:val="24"/>
          <w:highlight w:val="none"/>
        </w:rPr>
        <w:t>13.1本项目不收磋商保证金。</w:t>
      </w:r>
      <w:bookmarkEnd w:id="152"/>
      <w:r>
        <w:rPr>
          <w:rFonts w:ascii="宋体" w:hAnsi="宋体"/>
          <w:color w:val="000000"/>
          <w:sz w:val="24"/>
          <w:highlight w:val="none"/>
        </w:rPr>
        <w:t xml:space="preserve"> </w:t>
      </w:r>
    </w:p>
    <w:p w14:paraId="5675B8F6">
      <w:pPr>
        <w:pStyle w:val="189"/>
        <w:keepNext w:val="0"/>
        <w:keepLines w:val="0"/>
        <w:tabs>
          <w:tab w:val="left" w:pos="5191"/>
        </w:tabs>
        <w:spacing w:before="200" w:after="200" w:line="360" w:lineRule="auto"/>
        <w:ind w:firstLine="446"/>
        <w:rPr>
          <w:rFonts w:ascii="宋体" w:hAnsi="宋体"/>
          <w:color w:val="000000"/>
          <w:sz w:val="30"/>
          <w:highlight w:val="none"/>
        </w:rPr>
      </w:pPr>
      <w:bookmarkStart w:id="153" w:name="_Toc73364870"/>
      <w:bookmarkStart w:id="154" w:name="_Toc22156"/>
      <w:bookmarkStart w:id="155" w:name="_Toc73365483"/>
      <w:r>
        <w:rPr>
          <w:rFonts w:hint="eastAsia" w:ascii="宋体" w:hAnsi="宋体"/>
          <w:color w:val="000000"/>
          <w:sz w:val="30"/>
          <w:highlight w:val="none"/>
        </w:rPr>
        <w:t>14．磋商响应有效期</w:t>
      </w:r>
      <w:bookmarkEnd w:id="153"/>
      <w:bookmarkEnd w:id="154"/>
      <w:bookmarkEnd w:id="155"/>
    </w:p>
    <w:p w14:paraId="5ABEA85D">
      <w:pPr>
        <w:spacing w:line="360" w:lineRule="auto"/>
        <w:ind w:firstLine="480"/>
        <w:rPr>
          <w:rFonts w:ascii="宋体" w:hAnsi="宋体"/>
          <w:color w:val="000000"/>
          <w:sz w:val="24"/>
          <w:highlight w:val="none"/>
        </w:rPr>
      </w:pPr>
      <w:r>
        <w:rPr>
          <w:rFonts w:hint="eastAsia" w:ascii="宋体" w:hAnsi="宋体"/>
          <w:color w:val="000000"/>
          <w:sz w:val="24"/>
          <w:highlight w:val="none"/>
        </w:rPr>
        <w:t>14.1磋商有效期为：磋商响应文件自磋商之日起</w:t>
      </w:r>
      <w:bookmarkStart w:id="156" w:name="EBe5331d116298431aa240d61d189e1ecb"/>
      <w:r>
        <w:rPr>
          <w:rFonts w:hint="eastAsia" w:ascii="宋体" w:hAnsi="宋体"/>
          <w:color w:val="0000FF"/>
          <w:sz w:val="24"/>
          <w:highlight w:val="none"/>
        </w:rPr>
        <w:t>45天</w:t>
      </w:r>
      <w:bookmarkEnd w:id="156"/>
      <w:r>
        <w:rPr>
          <w:rFonts w:hint="eastAsia" w:ascii="宋体" w:hAnsi="宋体"/>
          <w:color w:val="000000"/>
          <w:sz w:val="24"/>
          <w:highlight w:val="none"/>
        </w:rPr>
        <w:t>内有效。供应商一旦领取了本磋商文件并参加磋商，即被认为接受了磋商有效期的约定。</w:t>
      </w:r>
    </w:p>
    <w:p w14:paraId="54CD9B65">
      <w:pPr>
        <w:spacing w:line="360" w:lineRule="auto"/>
        <w:ind w:firstLine="480"/>
        <w:rPr>
          <w:rFonts w:ascii="宋体" w:hAnsi="宋体"/>
          <w:color w:val="000000"/>
          <w:sz w:val="24"/>
          <w:highlight w:val="none"/>
        </w:rPr>
      </w:pPr>
      <w:r>
        <w:rPr>
          <w:rFonts w:hint="eastAsia" w:ascii="宋体" w:hAnsi="宋体"/>
          <w:color w:val="000000"/>
          <w:sz w:val="24"/>
          <w:highlight w:val="none"/>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498658FF">
      <w:pPr>
        <w:pStyle w:val="189"/>
        <w:keepNext w:val="0"/>
        <w:keepLines w:val="0"/>
        <w:tabs>
          <w:tab w:val="left" w:pos="5191"/>
        </w:tabs>
        <w:spacing w:before="200" w:after="200" w:line="360" w:lineRule="auto"/>
        <w:ind w:firstLine="446"/>
        <w:rPr>
          <w:rFonts w:ascii="宋体" w:hAnsi="宋体"/>
          <w:color w:val="000000"/>
          <w:sz w:val="30"/>
          <w:highlight w:val="none"/>
        </w:rPr>
      </w:pPr>
      <w:bookmarkStart w:id="157" w:name="_Toc11401"/>
      <w:bookmarkStart w:id="158" w:name="_Toc73364871"/>
      <w:bookmarkStart w:id="159" w:name="_Toc73365484"/>
      <w:r>
        <w:rPr>
          <w:rFonts w:hint="eastAsia" w:ascii="宋体" w:hAnsi="宋体"/>
          <w:color w:val="000000"/>
          <w:sz w:val="30"/>
          <w:highlight w:val="none"/>
        </w:rPr>
        <w:t>15. 响应文件的式样和签署</w:t>
      </w:r>
      <w:bookmarkEnd w:id="157"/>
      <w:bookmarkEnd w:id="158"/>
      <w:bookmarkEnd w:id="159"/>
    </w:p>
    <w:p w14:paraId="3D291F58">
      <w:pPr>
        <w:spacing w:line="360" w:lineRule="auto"/>
        <w:ind w:firstLine="480"/>
        <w:rPr>
          <w:rFonts w:ascii="宋体" w:hAnsi="宋体"/>
          <w:color w:val="000000"/>
          <w:sz w:val="24"/>
          <w:highlight w:val="none"/>
        </w:rPr>
      </w:pPr>
      <w:r>
        <w:rPr>
          <w:rFonts w:hint="eastAsia" w:ascii="宋体" w:hAnsi="宋体"/>
          <w:color w:val="000000"/>
          <w:sz w:val="24"/>
          <w:highlight w:val="none"/>
        </w:rPr>
        <w:t>15.1供应商应通过响应文件制作软件使用数字认证证书对响应文件进行合成、电子签章及加密打包。</w:t>
      </w:r>
    </w:p>
    <w:p w14:paraId="15DEFAAA">
      <w:pPr>
        <w:pStyle w:val="189"/>
        <w:keepNext w:val="0"/>
        <w:keepLines w:val="0"/>
        <w:tabs>
          <w:tab w:val="left" w:pos="5191"/>
        </w:tabs>
        <w:spacing w:before="200" w:after="200" w:line="360" w:lineRule="auto"/>
        <w:ind w:firstLine="446"/>
        <w:rPr>
          <w:rFonts w:ascii="宋体" w:hAnsi="宋体"/>
          <w:color w:val="000000"/>
          <w:sz w:val="30"/>
          <w:highlight w:val="none"/>
        </w:rPr>
      </w:pPr>
      <w:bookmarkStart w:id="160" w:name="_Toc73365485"/>
      <w:bookmarkStart w:id="161" w:name="_Toc29889"/>
      <w:bookmarkStart w:id="162" w:name="_Toc73364872"/>
      <w:r>
        <w:rPr>
          <w:rFonts w:hint="eastAsia" w:ascii="宋体" w:hAnsi="宋体"/>
          <w:color w:val="000000"/>
          <w:sz w:val="30"/>
          <w:highlight w:val="none"/>
        </w:rPr>
        <w:t>16．响应文件的提交</w:t>
      </w:r>
      <w:bookmarkEnd w:id="160"/>
      <w:bookmarkEnd w:id="161"/>
      <w:bookmarkEnd w:id="162"/>
    </w:p>
    <w:p w14:paraId="29510591">
      <w:pPr>
        <w:spacing w:line="360" w:lineRule="auto"/>
        <w:ind w:left="1" w:firstLine="480"/>
        <w:rPr>
          <w:rFonts w:ascii="宋体" w:hAnsi="宋体"/>
          <w:color w:val="000000"/>
          <w:sz w:val="24"/>
          <w:highlight w:val="none"/>
        </w:rPr>
      </w:pPr>
      <w:r>
        <w:rPr>
          <w:rFonts w:hint="eastAsia" w:ascii="宋体" w:hAnsi="宋体"/>
          <w:color w:val="000000"/>
          <w:sz w:val="24"/>
          <w:highlight w:val="none"/>
        </w:rPr>
        <w:t>16.1响应文件提交</w:t>
      </w:r>
    </w:p>
    <w:p w14:paraId="2B944BA6">
      <w:pPr>
        <w:spacing w:line="360" w:lineRule="auto"/>
        <w:ind w:left="1" w:firstLine="480"/>
        <w:rPr>
          <w:rFonts w:ascii="宋体" w:hAnsi="宋体"/>
          <w:b/>
          <w:color w:val="000000"/>
          <w:sz w:val="24"/>
          <w:highlight w:val="none"/>
          <w:u w:val="single"/>
        </w:rPr>
      </w:pPr>
      <w:r>
        <w:rPr>
          <w:rFonts w:hint="eastAsia" w:ascii="宋体" w:hAnsi="宋体"/>
          <w:color w:val="000000"/>
          <w:sz w:val="24"/>
          <w:highlight w:val="none"/>
        </w:rPr>
        <w:t>16.1.1供应商须在磋商文件规定的截止时间前，登录电子交易平台在规定时间内完成提交。</w:t>
      </w:r>
      <w:r>
        <w:rPr>
          <w:rFonts w:hint="eastAsia" w:ascii="宋体" w:hAnsi="宋体"/>
          <w:b/>
          <w:color w:val="000000"/>
          <w:sz w:val="24"/>
          <w:highlight w:val="none"/>
          <w:u w:val="single"/>
        </w:rPr>
        <w:t>时间以电子交易平台时间为准。</w:t>
      </w:r>
    </w:p>
    <w:p w14:paraId="3D54F8C1">
      <w:pPr>
        <w:spacing w:line="360" w:lineRule="auto"/>
        <w:ind w:left="1" w:firstLine="480"/>
        <w:rPr>
          <w:rFonts w:ascii="宋体" w:hAnsi="宋体"/>
          <w:b/>
          <w:color w:val="000000"/>
          <w:sz w:val="24"/>
          <w:highlight w:val="none"/>
          <w:u w:val="single"/>
        </w:rPr>
      </w:pPr>
      <w:r>
        <w:rPr>
          <w:rFonts w:hint="eastAsia" w:ascii="宋体" w:hAnsi="宋体"/>
          <w:color w:val="000000"/>
          <w:sz w:val="24"/>
          <w:highlight w:val="none"/>
        </w:rPr>
        <w:t>16.1.2</w:t>
      </w:r>
      <w:r>
        <w:rPr>
          <w:rFonts w:hint="eastAsia" w:ascii="宋体" w:hAnsi="宋体"/>
          <w:b/>
          <w:color w:val="000000"/>
          <w:sz w:val="24"/>
          <w:highlight w:val="none"/>
          <w:u w:val="single"/>
        </w:rPr>
        <w:t>截止时间以后传输的响应文件，电子交易平台将拒绝接收。供应商应充分考虑网络环境、网络带宽等风险因素。</w:t>
      </w:r>
    </w:p>
    <w:p w14:paraId="08FBFE09">
      <w:pPr>
        <w:spacing w:line="360" w:lineRule="auto"/>
        <w:ind w:firstLine="480"/>
        <w:rPr>
          <w:rFonts w:ascii="宋体" w:hAnsi="宋体"/>
          <w:b/>
          <w:color w:val="000000"/>
          <w:sz w:val="24"/>
          <w:highlight w:val="none"/>
          <w:u w:val="single"/>
        </w:rPr>
      </w:pPr>
      <w:r>
        <w:rPr>
          <w:rFonts w:hint="eastAsia" w:ascii="宋体" w:hAnsi="宋体"/>
          <w:color w:val="000000"/>
          <w:sz w:val="24"/>
          <w:highlight w:val="none"/>
        </w:rPr>
        <w:t>16.1.3</w:t>
      </w:r>
      <w:r>
        <w:rPr>
          <w:rFonts w:hint="eastAsia" w:ascii="宋体" w:hAnsi="宋体"/>
          <w:b/>
          <w:color w:val="000000"/>
          <w:sz w:val="24"/>
          <w:highlight w:val="none"/>
          <w:u w:val="single"/>
        </w:rPr>
        <w:t>提交完成后至解密前，</w:t>
      </w:r>
      <w:r>
        <w:rPr>
          <w:rFonts w:hint="eastAsia" w:ascii="宋体" w:hAnsi="宋体"/>
          <w:b/>
          <w:color w:val="000000"/>
          <w:sz w:val="24"/>
          <w:szCs w:val="20"/>
          <w:highlight w:val="none"/>
          <w:u w:val="single"/>
        </w:rPr>
        <w:t>供应商</w:t>
      </w:r>
      <w:r>
        <w:rPr>
          <w:rFonts w:hint="eastAsia" w:ascii="宋体" w:hAnsi="宋体"/>
          <w:b/>
          <w:color w:val="000000"/>
          <w:sz w:val="24"/>
          <w:highlight w:val="none"/>
          <w:u w:val="single"/>
        </w:rPr>
        <w:t>不能对加密响应文件时所使用的数字认证证书进行更新、续费，否则可能引起的响应文件解密失败等相关后果由供应商自行承担。</w:t>
      </w:r>
    </w:p>
    <w:p w14:paraId="2E3DA148">
      <w:pPr>
        <w:spacing w:line="360" w:lineRule="auto"/>
        <w:ind w:firstLine="480"/>
        <w:rPr>
          <w:rFonts w:ascii="宋体" w:hAnsi="宋体"/>
          <w:b/>
          <w:color w:val="000000"/>
          <w:sz w:val="24"/>
          <w:highlight w:val="none"/>
          <w:u w:val="single"/>
        </w:rPr>
      </w:pPr>
      <w:r>
        <w:rPr>
          <w:rFonts w:hint="eastAsia" w:ascii="宋体" w:hAnsi="宋体"/>
          <w:color w:val="000000"/>
          <w:sz w:val="24"/>
          <w:highlight w:val="none"/>
        </w:rPr>
        <w:t>16.1.4因不可抗力事件造成的响应文件的损坏、丢失的，磋商组织方不承担责任。</w:t>
      </w:r>
    </w:p>
    <w:p w14:paraId="4A6AF356">
      <w:pPr>
        <w:spacing w:line="360" w:lineRule="auto"/>
        <w:ind w:firstLine="480"/>
        <w:rPr>
          <w:rFonts w:ascii="宋体" w:hAnsi="宋体"/>
          <w:color w:val="000000"/>
          <w:sz w:val="24"/>
          <w:highlight w:val="none"/>
        </w:rPr>
      </w:pPr>
      <w:r>
        <w:rPr>
          <w:rFonts w:hint="eastAsia" w:ascii="宋体" w:hAnsi="宋体"/>
          <w:color w:val="000000"/>
          <w:sz w:val="24"/>
          <w:highlight w:val="none"/>
        </w:rPr>
        <w:t>16.2 磋商组织方可以通过修改磋商文件自行酌情延长截止时间，在此情况下，推迟提交截止时间将以书面形式通知已获取磋商文件的潜在供应商，并在“江苏政府采购网-苏采云平台”上发布公告。供应商应及时自行登录系统查看相应内容。</w:t>
      </w:r>
    </w:p>
    <w:p w14:paraId="1CE6FF6D">
      <w:pPr>
        <w:pStyle w:val="189"/>
        <w:keepNext w:val="0"/>
        <w:keepLines w:val="0"/>
        <w:tabs>
          <w:tab w:val="left" w:pos="5191"/>
        </w:tabs>
        <w:spacing w:before="200" w:after="200" w:line="360" w:lineRule="auto"/>
        <w:ind w:firstLine="446"/>
        <w:rPr>
          <w:rFonts w:ascii="宋体" w:hAnsi="宋体"/>
          <w:color w:val="000000"/>
          <w:sz w:val="30"/>
          <w:highlight w:val="none"/>
        </w:rPr>
      </w:pPr>
      <w:bookmarkStart w:id="163" w:name="_Toc73365486"/>
      <w:bookmarkStart w:id="164" w:name="_Toc73364873"/>
      <w:bookmarkStart w:id="165" w:name="_Toc30781"/>
      <w:r>
        <w:rPr>
          <w:rFonts w:hint="eastAsia" w:ascii="宋体" w:hAnsi="宋体"/>
          <w:color w:val="000000"/>
          <w:sz w:val="30"/>
          <w:highlight w:val="none"/>
        </w:rPr>
        <w:t>17．响应文件的补充、修改或者撤回</w:t>
      </w:r>
      <w:bookmarkEnd w:id="163"/>
      <w:bookmarkEnd w:id="164"/>
      <w:bookmarkEnd w:id="165"/>
    </w:p>
    <w:p w14:paraId="10B69604">
      <w:pPr>
        <w:spacing w:line="360" w:lineRule="auto"/>
        <w:ind w:firstLine="480"/>
        <w:rPr>
          <w:rFonts w:ascii="宋体" w:hAnsi="宋体"/>
          <w:color w:val="000000"/>
          <w:sz w:val="24"/>
          <w:highlight w:val="none"/>
        </w:rPr>
      </w:pPr>
      <w:r>
        <w:rPr>
          <w:rFonts w:hint="eastAsia" w:ascii="宋体" w:hAnsi="宋体"/>
          <w:color w:val="000000"/>
          <w:sz w:val="24"/>
          <w:highlight w:val="none"/>
        </w:rPr>
        <w:t>17.1</w:t>
      </w:r>
      <w:r>
        <w:rPr>
          <w:rFonts w:ascii="宋体" w:hAnsi="宋体"/>
          <w:color w:val="000000"/>
          <w:sz w:val="24"/>
          <w:highlight w:val="none"/>
        </w:rPr>
        <w:t>在提交截止时间前</w:t>
      </w:r>
      <w:r>
        <w:rPr>
          <w:rFonts w:hint="eastAsia" w:ascii="宋体" w:hAnsi="宋体"/>
          <w:color w:val="000000"/>
          <w:sz w:val="24"/>
          <w:highlight w:val="none"/>
        </w:rPr>
        <w:t>，</w:t>
      </w:r>
      <w:r>
        <w:rPr>
          <w:rFonts w:ascii="宋体" w:hAnsi="宋体"/>
          <w:color w:val="000000"/>
          <w:sz w:val="24"/>
          <w:highlight w:val="none"/>
        </w:rPr>
        <w:t>供应商可以对所</w:t>
      </w:r>
      <w:r>
        <w:rPr>
          <w:rFonts w:hint="eastAsia" w:ascii="宋体" w:hAnsi="宋体"/>
          <w:color w:val="000000"/>
          <w:sz w:val="24"/>
          <w:highlight w:val="none"/>
        </w:rPr>
        <w:t>提交</w:t>
      </w:r>
      <w:r>
        <w:rPr>
          <w:rFonts w:ascii="宋体" w:hAnsi="宋体"/>
          <w:color w:val="000000"/>
          <w:sz w:val="24"/>
          <w:highlight w:val="none"/>
        </w:rPr>
        <w:t>的电子响应文件进行撤回。</w:t>
      </w:r>
    </w:p>
    <w:p w14:paraId="65DBA49D">
      <w:pPr>
        <w:spacing w:line="360" w:lineRule="auto"/>
        <w:ind w:firstLine="480"/>
        <w:rPr>
          <w:rFonts w:ascii="宋体" w:hAnsi="宋体"/>
          <w:color w:val="000000"/>
          <w:sz w:val="24"/>
          <w:highlight w:val="none"/>
        </w:rPr>
      </w:pPr>
      <w:r>
        <w:rPr>
          <w:rFonts w:hint="eastAsia" w:ascii="宋体" w:hAnsi="宋体"/>
          <w:color w:val="000000"/>
          <w:sz w:val="24"/>
          <w:highlight w:val="none"/>
        </w:rPr>
        <w:t>17.2</w:t>
      </w:r>
      <w:r>
        <w:rPr>
          <w:rFonts w:ascii="宋体" w:hAnsi="宋体"/>
          <w:color w:val="000000"/>
          <w:sz w:val="24"/>
          <w:highlight w:val="none"/>
        </w:rPr>
        <w:t>在提交截止时间前，供应商可以对所</w:t>
      </w:r>
      <w:r>
        <w:rPr>
          <w:rFonts w:hint="eastAsia" w:ascii="宋体" w:hAnsi="宋体"/>
          <w:color w:val="000000"/>
          <w:sz w:val="24"/>
          <w:highlight w:val="none"/>
        </w:rPr>
        <w:t>提交</w:t>
      </w:r>
      <w:r>
        <w:rPr>
          <w:rFonts w:ascii="宋体" w:hAnsi="宋体"/>
          <w:color w:val="000000"/>
          <w:sz w:val="24"/>
          <w:highlight w:val="none"/>
        </w:rPr>
        <w:t>的响应文件进行补充、修改或者撤回，并</w:t>
      </w:r>
      <w:r>
        <w:rPr>
          <w:rFonts w:hint="eastAsia" w:ascii="宋体" w:hAnsi="宋体"/>
          <w:color w:val="000000"/>
          <w:sz w:val="24"/>
          <w:highlight w:val="none"/>
        </w:rPr>
        <w:t>书面通知磋商组织方</w:t>
      </w:r>
      <w:r>
        <w:rPr>
          <w:rFonts w:ascii="宋体" w:hAnsi="宋体"/>
          <w:color w:val="000000"/>
          <w:sz w:val="24"/>
          <w:highlight w:val="none"/>
        </w:rPr>
        <w:t>。补充、修改的内容应当</w:t>
      </w:r>
      <w:r>
        <w:rPr>
          <w:rFonts w:hint="eastAsia" w:ascii="宋体" w:hAnsi="宋体"/>
          <w:color w:val="000000"/>
          <w:sz w:val="24"/>
          <w:highlight w:val="none"/>
        </w:rPr>
        <w:t>加盖公章</w:t>
      </w:r>
      <w:r>
        <w:rPr>
          <w:rFonts w:ascii="宋体" w:hAnsi="宋体"/>
          <w:color w:val="000000"/>
          <w:sz w:val="24"/>
          <w:highlight w:val="none"/>
        </w:rPr>
        <w:t>，</w:t>
      </w:r>
      <w:r>
        <w:rPr>
          <w:rFonts w:hint="eastAsia" w:ascii="宋体" w:hAnsi="宋体"/>
          <w:color w:val="000000"/>
          <w:sz w:val="24"/>
          <w:highlight w:val="none"/>
        </w:rPr>
        <w:t>并注明“</w:t>
      </w:r>
      <w:r>
        <w:rPr>
          <w:rFonts w:ascii="宋体" w:hAnsi="宋体"/>
          <w:color w:val="000000"/>
          <w:sz w:val="24"/>
          <w:highlight w:val="none"/>
        </w:rPr>
        <w:t>补充</w:t>
      </w:r>
      <w:r>
        <w:rPr>
          <w:rFonts w:hint="eastAsia" w:ascii="宋体" w:hAnsi="宋体"/>
          <w:color w:val="000000"/>
          <w:sz w:val="24"/>
          <w:highlight w:val="none"/>
        </w:rPr>
        <w:t>”、“修改”或“撤回”字样。</w:t>
      </w:r>
      <w:r>
        <w:rPr>
          <w:rFonts w:ascii="宋体" w:hAnsi="宋体"/>
          <w:color w:val="000000"/>
          <w:sz w:val="24"/>
          <w:highlight w:val="none"/>
        </w:rPr>
        <w:t>补充、修改的内容作为响应文件的组成部分</w:t>
      </w:r>
      <w:r>
        <w:rPr>
          <w:rFonts w:hint="eastAsia" w:ascii="宋体" w:hAnsi="宋体"/>
          <w:color w:val="000000"/>
          <w:sz w:val="24"/>
          <w:highlight w:val="none"/>
        </w:rPr>
        <w:t>。</w:t>
      </w:r>
    </w:p>
    <w:p w14:paraId="2ADB4649">
      <w:pPr>
        <w:spacing w:line="360" w:lineRule="auto"/>
        <w:ind w:firstLine="480"/>
        <w:rPr>
          <w:rFonts w:ascii="宋体" w:hAnsi="宋体"/>
          <w:color w:val="000000"/>
          <w:sz w:val="24"/>
          <w:highlight w:val="none"/>
        </w:rPr>
      </w:pPr>
      <w:r>
        <w:rPr>
          <w:rFonts w:hint="eastAsia" w:ascii="宋体" w:hAnsi="宋体"/>
          <w:color w:val="000000"/>
          <w:sz w:val="24"/>
          <w:highlight w:val="none"/>
        </w:rPr>
        <w:t>17.3在提交截止时间之后，供应商不得对其响应文件作任何修改或撤回。</w:t>
      </w:r>
    </w:p>
    <w:p w14:paraId="7DBFCA0D">
      <w:pPr>
        <w:spacing w:line="360" w:lineRule="auto"/>
        <w:ind w:firstLine="480"/>
        <w:rPr>
          <w:highlight w:val="none"/>
        </w:rPr>
      </w:pPr>
      <w:r>
        <w:rPr>
          <w:rFonts w:hint="eastAsia" w:ascii="宋体" w:hAnsi="宋体"/>
          <w:color w:val="000000"/>
          <w:sz w:val="24"/>
          <w:highlight w:val="none"/>
        </w:rPr>
        <w:t>17.4在提交截止时间至磋商文件中规定的磋商有效期满之间，供应商不得撤回其响应。</w:t>
      </w:r>
      <w:bookmarkStart w:id="166" w:name="EB7e4f79ed53944800a53d98770de9ecd4"/>
      <w:r>
        <w:rPr>
          <w:rFonts w:hint="eastAsia"/>
          <w:color w:val="000080"/>
          <w:sz w:val="20"/>
          <w:highlight w:val="none"/>
        </w:rPr>
        <w:t xml:space="preserve"> </w:t>
      </w:r>
      <w:bookmarkEnd w:id="166"/>
    </w:p>
    <w:p w14:paraId="25B00B9E">
      <w:pPr>
        <w:pStyle w:val="188"/>
        <w:rPr>
          <w:rFonts w:ascii="宋体" w:hAnsi="宋体" w:eastAsia="宋体"/>
          <w:color w:val="000000"/>
          <w:sz w:val="32"/>
          <w:highlight w:val="none"/>
        </w:rPr>
      </w:pPr>
      <w:bookmarkStart w:id="167" w:name="_Toc73365487"/>
      <w:bookmarkStart w:id="168" w:name="_Toc73364874"/>
      <w:bookmarkStart w:id="169" w:name="_Toc26960"/>
      <w:r>
        <w:rPr>
          <w:rFonts w:hint="eastAsia" w:ascii="宋体" w:hAnsi="宋体" w:eastAsia="宋体"/>
          <w:color w:val="000000"/>
          <w:sz w:val="32"/>
          <w:highlight w:val="none"/>
        </w:rPr>
        <w:t>四、磋商与评审</w:t>
      </w:r>
      <w:bookmarkEnd w:id="167"/>
      <w:bookmarkEnd w:id="168"/>
      <w:bookmarkEnd w:id="169"/>
    </w:p>
    <w:p w14:paraId="374DC577">
      <w:pPr>
        <w:pStyle w:val="189"/>
        <w:keepNext w:val="0"/>
        <w:keepLines w:val="0"/>
        <w:tabs>
          <w:tab w:val="left" w:pos="5191"/>
        </w:tabs>
        <w:spacing w:before="200" w:after="200" w:line="360" w:lineRule="auto"/>
        <w:ind w:firstLine="446"/>
        <w:rPr>
          <w:rFonts w:ascii="宋体" w:hAnsi="宋体"/>
          <w:color w:val="000000"/>
          <w:sz w:val="30"/>
          <w:highlight w:val="none"/>
        </w:rPr>
      </w:pPr>
      <w:bookmarkStart w:id="170" w:name="_Toc73364875"/>
      <w:bookmarkStart w:id="171" w:name="_Toc73365488"/>
      <w:bookmarkStart w:id="172" w:name="_Toc13236"/>
      <w:r>
        <w:rPr>
          <w:rFonts w:hint="eastAsia" w:ascii="宋体" w:hAnsi="宋体"/>
          <w:color w:val="000000"/>
          <w:sz w:val="30"/>
          <w:highlight w:val="none"/>
        </w:rPr>
        <w:t>18．磋商</w:t>
      </w:r>
      <w:bookmarkEnd w:id="170"/>
      <w:bookmarkEnd w:id="171"/>
      <w:bookmarkEnd w:id="172"/>
    </w:p>
    <w:p w14:paraId="67FF4BE1">
      <w:pPr>
        <w:spacing w:line="360" w:lineRule="auto"/>
        <w:ind w:left="1" w:firstLine="480"/>
        <w:rPr>
          <w:rFonts w:ascii="宋体" w:hAnsi="宋体"/>
          <w:color w:val="000000"/>
          <w:sz w:val="24"/>
          <w:highlight w:val="none"/>
        </w:rPr>
      </w:pPr>
      <w:r>
        <w:rPr>
          <w:rFonts w:hint="eastAsia" w:ascii="宋体" w:hAnsi="宋体"/>
          <w:color w:val="000000"/>
          <w:sz w:val="24"/>
          <w:highlight w:val="none"/>
        </w:rPr>
        <w:t>18.1供应商应当在磋商前做好充分准备，携带CA数字证书准时参加磋商。</w:t>
      </w:r>
    </w:p>
    <w:p w14:paraId="1B194AF4">
      <w:pPr>
        <w:spacing w:line="360" w:lineRule="auto"/>
        <w:ind w:left="1" w:firstLine="480"/>
        <w:rPr>
          <w:rFonts w:ascii="宋体" w:hAnsi="宋体"/>
          <w:color w:val="000000"/>
          <w:sz w:val="24"/>
          <w:highlight w:val="none"/>
        </w:rPr>
      </w:pPr>
      <w:r>
        <w:rPr>
          <w:rFonts w:hint="eastAsia" w:ascii="宋体" w:hAnsi="宋体"/>
          <w:color w:val="000000"/>
          <w:sz w:val="24"/>
          <w:highlight w:val="none"/>
        </w:rPr>
        <w:t>18.2</w:t>
      </w:r>
      <w:r>
        <w:rPr>
          <w:rFonts w:hint="eastAsia" w:ascii="宋体" w:hAnsi="宋体"/>
          <w:b/>
          <w:color w:val="000000"/>
          <w:sz w:val="24"/>
          <w:highlight w:val="none"/>
        </w:rPr>
        <w:t>供应商不足3家，不进入解密程序。</w:t>
      </w:r>
    </w:p>
    <w:p w14:paraId="3687CEA1">
      <w:pPr>
        <w:spacing w:line="360" w:lineRule="auto"/>
        <w:ind w:left="1" w:firstLine="480"/>
        <w:rPr>
          <w:rFonts w:ascii="宋体" w:hAnsi="宋体"/>
          <w:color w:val="000000"/>
          <w:sz w:val="24"/>
          <w:highlight w:val="none"/>
        </w:rPr>
      </w:pPr>
      <w:r>
        <w:rPr>
          <w:rFonts w:hint="eastAsia" w:ascii="宋体" w:hAnsi="宋体"/>
          <w:color w:val="000000"/>
          <w:sz w:val="24"/>
          <w:highlight w:val="none"/>
        </w:rPr>
        <w:t>18.3</w:t>
      </w:r>
      <w:r>
        <w:rPr>
          <w:rFonts w:hint="eastAsia" w:ascii="宋体" w:hAnsi="宋体"/>
          <w:b/>
          <w:color w:val="000000"/>
          <w:sz w:val="24"/>
          <w:highlight w:val="none"/>
        </w:rPr>
        <w:t>磋商时，磋商组织方将在系统内公布供应商名单，发出解密的指令，供应商自行实施解密，限定在主持人发布解密指令后</w:t>
      </w:r>
      <w:bookmarkStart w:id="173" w:name="EBaf33e81756a940b58c69ffadb3ca2432"/>
      <w:r>
        <w:rPr>
          <w:rFonts w:ascii="宋体" w:hAnsi="宋体"/>
          <w:b/>
          <w:color w:val="0000FF"/>
          <w:sz w:val="24"/>
          <w:highlight w:val="none"/>
        </w:rPr>
        <w:t>30</w:t>
      </w:r>
      <w:r>
        <w:rPr>
          <w:rFonts w:hint="eastAsia" w:ascii="宋体" w:hAnsi="宋体"/>
          <w:b/>
          <w:color w:val="0000FF"/>
          <w:sz w:val="24"/>
          <w:highlight w:val="none"/>
        </w:rPr>
        <w:t>分钟</w:t>
      </w:r>
      <w:bookmarkEnd w:id="173"/>
      <w:r>
        <w:rPr>
          <w:rFonts w:hint="eastAsia" w:ascii="宋体" w:hAnsi="宋体"/>
          <w:b/>
          <w:color w:val="000000"/>
          <w:sz w:val="24"/>
          <w:highlight w:val="none"/>
        </w:rPr>
        <w:t>内完成。解密时，供应商必须使用与制作响应文件时同一数字认证证书对响应文件进行解密，否则解密将会失败。</w:t>
      </w:r>
    </w:p>
    <w:p w14:paraId="660D55FE">
      <w:pPr>
        <w:spacing w:line="360" w:lineRule="auto"/>
        <w:ind w:left="1" w:firstLine="482"/>
        <w:rPr>
          <w:rFonts w:ascii="宋体" w:hAnsi="宋体"/>
          <w:b/>
          <w:color w:val="000000"/>
          <w:sz w:val="24"/>
          <w:highlight w:val="none"/>
        </w:rPr>
      </w:pPr>
      <w:r>
        <w:rPr>
          <w:rFonts w:hint="eastAsia" w:ascii="宋体" w:hAnsi="宋体"/>
          <w:b/>
          <w:color w:val="000000"/>
          <w:sz w:val="24"/>
          <w:highlight w:val="none"/>
        </w:rPr>
        <w:t>18.4</w:t>
      </w:r>
      <w:r>
        <w:rPr>
          <w:rFonts w:hint="eastAsia" w:ascii="宋体" w:hAnsi="宋体"/>
          <w:color w:val="000000"/>
          <w:sz w:val="24"/>
          <w:highlight w:val="none"/>
        </w:rPr>
        <w:t>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none"/>
        </w:rPr>
        <w:t>若解密成功的供应商不足三家，不进入后续程序。</w:t>
      </w:r>
    </w:p>
    <w:p w14:paraId="3BB62B35">
      <w:pPr>
        <w:spacing w:line="360" w:lineRule="auto"/>
        <w:ind w:left="1" w:firstLine="480"/>
        <w:rPr>
          <w:rFonts w:ascii="宋体" w:hAnsi="宋体"/>
          <w:b/>
          <w:color w:val="000000"/>
          <w:sz w:val="24"/>
          <w:highlight w:val="none"/>
        </w:rPr>
      </w:pPr>
      <w:r>
        <w:rPr>
          <w:rFonts w:hint="eastAsia" w:ascii="宋体" w:hAnsi="宋体"/>
          <w:color w:val="000000"/>
          <w:sz w:val="24"/>
          <w:highlight w:val="none"/>
        </w:rPr>
        <w:t>18.5本项目在限定的解密时间内，只要有任一家供应商解密成功，即视为电子交易平台运行无故障。</w:t>
      </w:r>
    </w:p>
    <w:p w14:paraId="104F7557">
      <w:pPr>
        <w:spacing w:line="360" w:lineRule="auto"/>
        <w:ind w:left="1" w:firstLine="480"/>
        <w:rPr>
          <w:rFonts w:ascii="宋体" w:hAnsi="宋体"/>
          <w:color w:val="000000"/>
          <w:sz w:val="24"/>
          <w:highlight w:val="none"/>
        </w:rPr>
      </w:pPr>
      <w:r>
        <w:rPr>
          <w:rFonts w:hint="eastAsia" w:ascii="宋体" w:hAnsi="宋体"/>
          <w:color w:val="000000"/>
          <w:sz w:val="24"/>
          <w:highlight w:val="none"/>
        </w:rPr>
        <w:t>18.6供应商须配合磋商工作，否则自行承担后果。</w:t>
      </w:r>
    </w:p>
    <w:p w14:paraId="5EEA1178">
      <w:pPr>
        <w:pStyle w:val="189"/>
        <w:keepNext w:val="0"/>
        <w:keepLines w:val="0"/>
        <w:tabs>
          <w:tab w:val="left" w:pos="5191"/>
        </w:tabs>
        <w:spacing w:before="200" w:after="200" w:line="360" w:lineRule="auto"/>
        <w:ind w:firstLine="446"/>
        <w:rPr>
          <w:rFonts w:ascii="宋体" w:hAnsi="宋体"/>
          <w:color w:val="000000"/>
          <w:sz w:val="30"/>
          <w:highlight w:val="none"/>
        </w:rPr>
      </w:pPr>
      <w:bookmarkStart w:id="174" w:name="_Toc73365489"/>
      <w:bookmarkStart w:id="175" w:name="_Toc2850"/>
      <w:bookmarkStart w:id="176" w:name="_Toc73364876"/>
      <w:r>
        <w:rPr>
          <w:rFonts w:hint="eastAsia" w:ascii="宋体" w:hAnsi="宋体"/>
          <w:color w:val="000000"/>
          <w:sz w:val="30"/>
          <w:highlight w:val="none"/>
        </w:rPr>
        <w:t>19．磋商小组组成</w:t>
      </w:r>
      <w:bookmarkEnd w:id="174"/>
      <w:bookmarkEnd w:id="175"/>
      <w:bookmarkEnd w:id="176"/>
    </w:p>
    <w:p w14:paraId="56718A6D">
      <w:pPr>
        <w:spacing w:line="360" w:lineRule="auto"/>
        <w:ind w:firstLine="480"/>
        <w:rPr>
          <w:rFonts w:ascii="宋体" w:hAnsi="宋体"/>
          <w:color w:val="000000"/>
          <w:sz w:val="24"/>
          <w:highlight w:val="none"/>
        </w:rPr>
      </w:pPr>
      <w:r>
        <w:rPr>
          <w:rFonts w:hint="eastAsia" w:ascii="宋体" w:hAnsi="宋体"/>
          <w:color w:val="000000"/>
          <w:sz w:val="24"/>
          <w:highlight w:val="none"/>
        </w:rPr>
        <w:t>19.1磋商小组将由采购人代表和评审专家组成，成员人数为3人或3人以上单数。</w:t>
      </w:r>
    </w:p>
    <w:p w14:paraId="390BA9D2">
      <w:pPr>
        <w:pStyle w:val="189"/>
        <w:keepNext w:val="0"/>
        <w:keepLines w:val="0"/>
        <w:tabs>
          <w:tab w:val="left" w:pos="5191"/>
        </w:tabs>
        <w:spacing w:before="200" w:after="200" w:line="360" w:lineRule="auto"/>
        <w:ind w:firstLine="446"/>
        <w:rPr>
          <w:rFonts w:ascii="宋体" w:hAnsi="宋体"/>
          <w:color w:val="000000"/>
          <w:sz w:val="30"/>
          <w:highlight w:val="none"/>
        </w:rPr>
      </w:pPr>
      <w:bookmarkStart w:id="177" w:name="_Toc29374"/>
      <w:bookmarkStart w:id="178" w:name="_Toc73364877"/>
      <w:bookmarkStart w:id="179" w:name="_Toc73365490"/>
      <w:r>
        <w:rPr>
          <w:rFonts w:hint="eastAsia" w:ascii="宋体" w:hAnsi="宋体"/>
          <w:color w:val="000000"/>
          <w:sz w:val="30"/>
          <w:highlight w:val="none"/>
        </w:rPr>
        <w:t>20．无效磋商的情形</w:t>
      </w:r>
      <w:bookmarkEnd w:id="177"/>
      <w:bookmarkEnd w:id="178"/>
      <w:bookmarkEnd w:id="179"/>
    </w:p>
    <w:p w14:paraId="634D26D7">
      <w:pPr>
        <w:spacing w:line="360" w:lineRule="auto"/>
        <w:ind w:left="1" w:firstLine="480"/>
        <w:rPr>
          <w:rFonts w:ascii="宋体" w:hAnsi="宋体"/>
          <w:color w:val="000000"/>
          <w:sz w:val="24"/>
          <w:highlight w:val="none"/>
        </w:rPr>
      </w:pPr>
      <w:r>
        <w:rPr>
          <w:rFonts w:hint="eastAsia" w:ascii="宋体" w:hAnsi="宋体"/>
          <w:color w:val="000000"/>
          <w:sz w:val="24"/>
          <w:highlight w:val="none"/>
        </w:rPr>
        <w:t>供应商存在下列情况之一的，其磋商无效：</w:t>
      </w:r>
    </w:p>
    <w:p w14:paraId="36AFED77">
      <w:pPr>
        <w:spacing w:line="360" w:lineRule="auto"/>
        <w:ind w:firstLine="482"/>
        <w:rPr>
          <w:rFonts w:ascii="宋体" w:hAnsi="宋体"/>
          <w:b/>
          <w:color w:val="000000"/>
          <w:sz w:val="24"/>
          <w:highlight w:val="none"/>
          <w:u w:val="single"/>
        </w:rPr>
      </w:pPr>
      <w:r>
        <w:rPr>
          <w:rFonts w:hint="eastAsia" w:ascii="宋体" w:hAnsi="宋体"/>
          <w:b/>
          <w:color w:val="000000"/>
          <w:sz w:val="24"/>
          <w:highlight w:val="none"/>
          <w:u w:val="single"/>
        </w:rPr>
        <w:t>（1）响应文件未按磋商文件要求签署、盖章的；</w:t>
      </w:r>
    </w:p>
    <w:p w14:paraId="370C2452">
      <w:pPr>
        <w:spacing w:line="360" w:lineRule="auto"/>
        <w:ind w:firstLine="482"/>
        <w:rPr>
          <w:rFonts w:ascii="宋体" w:hAnsi="宋体"/>
          <w:b/>
          <w:color w:val="000000"/>
          <w:sz w:val="24"/>
          <w:highlight w:val="none"/>
          <w:u w:val="single"/>
        </w:rPr>
      </w:pPr>
      <w:r>
        <w:rPr>
          <w:rFonts w:hint="eastAsia" w:ascii="宋体" w:hAnsi="宋体"/>
          <w:b/>
          <w:color w:val="000000"/>
          <w:sz w:val="24"/>
          <w:highlight w:val="none"/>
          <w:u w:val="single"/>
        </w:rPr>
        <w:t>（2）不具备磋商文件中规定的资格要求的；</w:t>
      </w:r>
    </w:p>
    <w:p w14:paraId="1CCEE3AC">
      <w:pPr>
        <w:spacing w:line="360" w:lineRule="auto"/>
        <w:ind w:left="1" w:firstLine="482"/>
        <w:rPr>
          <w:rFonts w:ascii="宋体" w:hAnsi="宋体"/>
          <w:b/>
          <w:color w:val="000000"/>
          <w:sz w:val="24"/>
          <w:highlight w:val="none"/>
          <w:u w:val="single"/>
        </w:rPr>
      </w:pPr>
      <w:r>
        <w:rPr>
          <w:rFonts w:hint="eastAsia" w:ascii="宋体" w:hAnsi="宋体"/>
          <w:b/>
          <w:color w:val="000000"/>
          <w:sz w:val="24"/>
          <w:highlight w:val="none"/>
          <w:u w:val="single"/>
        </w:rPr>
        <w:t>（3）在磋商过程中未对磋商内容作出实质性变更、修改的情况下，首轮报价或最终报价超过磋商文件中规定的预算金额或最高限价的；</w:t>
      </w:r>
    </w:p>
    <w:p w14:paraId="3418BD6E">
      <w:pPr>
        <w:spacing w:line="360" w:lineRule="auto"/>
        <w:ind w:left="1" w:firstLine="482"/>
        <w:rPr>
          <w:rFonts w:ascii="宋体" w:hAnsi="宋体"/>
          <w:b/>
          <w:color w:val="000000"/>
          <w:sz w:val="24"/>
          <w:highlight w:val="none"/>
          <w:u w:val="single"/>
        </w:rPr>
      </w:pPr>
      <w:r>
        <w:rPr>
          <w:rFonts w:hint="eastAsia" w:ascii="宋体" w:hAnsi="宋体"/>
          <w:b/>
          <w:color w:val="000000"/>
          <w:sz w:val="24"/>
          <w:highlight w:val="none"/>
          <w:u w:val="single"/>
        </w:rPr>
        <w:t>（4）响应文件含有采购人不能接受的附加条件的;</w:t>
      </w:r>
    </w:p>
    <w:p w14:paraId="24D5F510">
      <w:pPr>
        <w:spacing w:line="360" w:lineRule="auto"/>
        <w:ind w:firstLine="482"/>
        <w:rPr>
          <w:rFonts w:hint="eastAsia" w:ascii="宋体" w:hAnsi="宋体"/>
          <w:b/>
          <w:color w:val="000000"/>
          <w:sz w:val="24"/>
          <w:highlight w:val="none"/>
          <w:u w:val="single"/>
        </w:rPr>
      </w:pPr>
      <w:r>
        <w:rPr>
          <w:rFonts w:hint="eastAsia" w:ascii="宋体" w:hAnsi="宋体"/>
          <w:b/>
          <w:color w:val="000000"/>
          <w:sz w:val="24"/>
          <w:highlight w:val="none"/>
          <w:u w:val="single"/>
        </w:rPr>
        <w:t>（5）不符合法律、法规和磋商文件规定的其它实质性条款（须经磋商小组半数以上同意）：</w:t>
      </w:r>
    </w:p>
    <w:p w14:paraId="01E50308">
      <w:pPr>
        <w:spacing w:line="360" w:lineRule="auto"/>
        <w:rPr>
          <w:rFonts w:hint="eastAsia" w:ascii="宋体" w:hAnsi="宋体" w:eastAsia="宋体" w:cs="宋体"/>
          <w:color w:val="0000FF"/>
          <w:sz w:val="24"/>
          <w:szCs w:val="24"/>
          <w:highlight w:val="none"/>
        </w:rPr>
      </w:pPr>
      <w:r>
        <w:rPr>
          <w:rFonts w:hint="eastAsia"/>
          <w:highlight w:val="none"/>
        </w:rPr>
        <w:t xml:space="preserve">  </w:t>
      </w:r>
      <w:r>
        <w:rPr>
          <w:rFonts w:hint="eastAsia"/>
          <w:highlight w:val="none"/>
          <w:lang w:val="en-US" w:eastAsia="zh-CN"/>
        </w:rPr>
        <w:t xml:space="preserve"> </w:t>
      </w:r>
      <w:r>
        <w:rPr>
          <w:rFonts w:hint="eastAsia"/>
          <w:highlight w:val="none"/>
        </w:rPr>
        <w:t xml:space="preserve"> </w:t>
      </w:r>
      <w:bookmarkStart w:id="180" w:name="EB1a6133a9061749489c10f63f90f17fb6"/>
      <w:r>
        <w:rPr>
          <w:rFonts w:hint="eastAsia" w:ascii="宋体" w:hAnsi="宋体" w:eastAsia="宋体" w:cs="宋体"/>
          <w:color w:val="0000FF"/>
          <w:sz w:val="24"/>
          <w:szCs w:val="24"/>
          <w:highlight w:val="none"/>
        </w:rPr>
        <w:t>（6）如有委托代理人，未提供供应商为其缴纳社保证明材料的；不同供应商的单位负责人为同一人或者存在直接控股、管理关系的；</w:t>
      </w:r>
    </w:p>
    <w:p w14:paraId="412C728E">
      <w:pPr>
        <w:spacing w:line="360" w:lineRule="auto"/>
        <w:ind w:firstLine="48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7</w:t>
      </w: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rPr>
        <w:t>“信用中国”网站（www.creditchina.gov.cn）、中国政府采购网（www.ccgp.gov.cn）、“信用江苏”网站（http://www.jscredit.gov.cn）查询结果为失信被执行人名单、重大税收违法案件当事人名单、政府采购严重违法失信行为名单的；</w:t>
      </w:r>
    </w:p>
    <w:p w14:paraId="216806B7">
      <w:pPr>
        <w:spacing w:line="360" w:lineRule="auto"/>
        <w:ind w:firstLine="42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（8）符合磋商文件规定的异常低价投标情形，即投标（响应）报价低于采购项目预算 50%、低于采购项目最高限价 45%，或磋商小组认定的供应商报价过低、有可能影响产品质量或者不能诚信履约的其他情形，磋商小组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p>
    <w:p w14:paraId="0E16BC7D">
      <w:pPr>
        <w:spacing w:line="360" w:lineRule="auto"/>
        <w:ind w:firstLine="42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（9）响应文件中提供了虚假或失实资料的；</w:t>
      </w:r>
    </w:p>
    <w:p w14:paraId="1EA080C5">
      <w:pPr>
        <w:spacing w:line="360" w:lineRule="auto"/>
        <w:ind w:firstLine="42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（10）不同供应商的响应文件出现了磋商小组认为不应当雷同的；</w:t>
      </w:r>
    </w:p>
    <w:p w14:paraId="1AA28C35">
      <w:pPr>
        <w:spacing w:line="360" w:lineRule="auto"/>
        <w:ind w:firstLine="42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（11）供应商存在串通磋商情形的；</w:t>
      </w:r>
    </w:p>
    <w:p w14:paraId="4B246A4A">
      <w:pPr>
        <w:spacing w:line="360" w:lineRule="auto"/>
        <w:ind w:firstLine="42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（12）未在提交截止时间前提交有效加密文件的；</w:t>
      </w:r>
    </w:p>
    <w:p w14:paraId="33B0C233">
      <w:pPr>
        <w:spacing w:line="360" w:lineRule="auto"/>
        <w:ind w:firstLine="42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（13）由于供应商原因，未在规定时间内对响应文件进行有效解密的；</w:t>
      </w:r>
    </w:p>
    <w:p w14:paraId="01861E6E">
      <w:pPr>
        <w:spacing w:line="360" w:lineRule="auto"/>
        <w:ind w:firstLine="42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（14）为本项目提供整体设计、规范编制或者项目管理、监理、检测等服务的；</w:t>
      </w:r>
    </w:p>
    <w:p w14:paraId="735F0929">
      <w:pPr>
        <w:spacing w:line="360" w:lineRule="auto"/>
        <w:ind w:firstLine="42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w:t>
      </w:r>
      <w:r>
        <w:rPr>
          <w:rFonts w:hint="eastAsia" w:ascii="宋体" w:hAnsi="宋体" w:eastAsia="宋体" w:cs="宋体"/>
          <w:color w:val="0000FF"/>
          <w:sz w:val="24"/>
          <w:szCs w:val="24"/>
          <w:highlight w:val="none"/>
          <w:lang w:val="en-US" w:eastAsia="zh-CN"/>
        </w:rPr>
        <w:t>5</w:t>
      </w:r>
      <w:r>
        <w:rPr>
          <w:rFonts w:hint="eastAsia" w:ascii="宋体" w:hAnsi="宋体" w:eastAsia="宋体" w:cs="宋体"/>
          <w:color w:val="0000FF"/>
          <w:sz w:val="24"/>
          <w:szCs w:val="24"/>
          <w:highlight w:val="none"/>
        </w:rPr>
        <w:t>）实质性条款响应有负偏离的；</w:t>
      </w:r>
    </w:p>
    <w:p w14:paraId="30A82723">
      <w:pPr>
        <w:spacing w:line="360" w:lineRule="auto"/>
        <w:ind w:firstLine="482"/>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（1</w:t>
      </w:r>
      <w:r>
        <w:rPr>
          <w:rFonts w:hint="eastAsia" w:ascii="宋体" w:hAnsi="宋体" w:eastAsia="宋体" w:cs="宋体"/>
          <w:b/>
          <w:bCs/>
          <w:color w:val="0000FF"/>
          <w:sz w:val="24"/>
          <w:szCs w:val="24"/>
          <w:highlight w:val="none"/>
          <w:lang w:val="en-US" w:eastAsia="zh-CN"/>
        </w:rPr>
        <w:t>6</w:t>
      </w:r>
      <w:r>
        <w:rPr>
          <w:rFonts w:hint="eastAsia" w:ascii="宋体" w:hAnsi="宋体" w:eastAsia="宋体" w:cs="宋体"/>
          <w:b/>
          <w:bCs/>
          <w:color w:val="0000FF"/>
          <w:sz w:val="24"/>
          <w:szCs w:val="24"/>
          <w:highlight w:val="none"/>
        </w:rPr>
        <w:t>）未</w:t>
      </w:r>
      <w:r>
        <w:rPr>
          <w:rFonts w:hint="eastAsia" w:ascii="宋体" w:hAnsi="宋体" w:eastAsia="宋体" w:cs="宋体"/>
          <w:b/>
          <w:bCs/>
          <w:color w:val="0000FF"/>
          <w:sz w:val="24"/>
          <w:szCs w:val="24"/>
          <w:highlight w:val="none"/>
          <w:lang w:val="en-US" w:eastAsia="zh-CN"/>
        </w:rPr>
        <w:t>在规定时间内</w:t>
      </w:r>
      <w:r>
        <w:rPr>
          <w:rFonts w:hint="eastAsia" w:ascii="宋体" w:hAnsi="宋体" w:eastAsia="宋体" w:cs="宋体"/>
          <w:b/>
          <w:bCs/>
          <w:color w:val="0000FF"/>
          <w:sz w:val="24"/>
          <w:szCs w:val="24"/>
          <w:highlight w:val="none"/>
        </w:rPr>
        <w:t>参与最终报价的供应商会被系统自动判定为无效响应。</w:t>
      </w:r>
    </w:p>
    <w:p w14:paraId="5C3F3AF6">
      <w:pPr>
        <w:spacing w:line="360" w:lineRule="auto"/>
        <w:ind w:firstLine="480"/>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（1</w:t>
      </w:r>
      <w:r>
        <w:rPr>
          <w:rFonts w:hint="eastAsia" w:ascii="宋体" w:hAnsi="宋体" w:eastAsia="宋体" w:cs="宋体"/>
          <w:color w:val="0000FF"/>
          <w:sz w:val="24"/>
          <w:szCs w:val="24"/>
          <w:highlight w:val="none"/>
          <w:lang w:val="en-US" w:eastAsia="zh-CN"/>
        </w:rPr>
        <w:t>7</w:t>
      </w:r>
      <w:r>
        <w:rPr>
          <w:rFonts w:hint="eastAsia" w:ascii="宋体" w:hAnsi="宋体" w:eastAsia="宋体" w:cs="宋体"/>
          <w:color w:val="0000FF"/>
          <w:sz w:val="24"/>
          <w:szCs w:val="24"/>
          <w:highlight w:val="none"/>
        </w:rPr>
        <w:t>）项目服务要求响应负偏离程度过大或过多，经评委会认定影响采购人实际使用的</w:t>
      </w:r>
      <w:bookmarkEnd w:id="180"/>
      <w:r>
        <w:rPr>
          <w:rFonts w:hint="eastAsia" w:ascii="宋体" w:hAnsi="宋体" w:eastAsia="宋体" w:cs="宋体"/>
          <w:color w:val="0000FF"/>
          <w:sz w:val="24"/>
          <w:szCs w:val="24"/>
          <w:highlight w:val="none"/>
        </w:rPr>
        <w:t>。</w:t>
      </w:r>
    </w:p>
    <w:p w14:paraId="234C9803">
      <w:pPr>
        <w:pStyle w:val="203"/>
        <w:ind w:firstLine="480"/>
        <w:rPr>
          <w:rFonts w:ascii="宋体" w:hAnsi="宋体" w:eastAsia="宋体"/>
          <w:color w:val="0000FF"/>
          <w:sz w:val="24"/>
          <w:szCs w:val="22"/>
          <w:highlight w:val="none"/>
        </w:rPr>
      </w:pPr>
      <w:r>
        <w:rPr>
          <w:rFonts w:hint="eastAsia" w:ascii="宋体" w:hAnsi="宋体" w:eastAsia="宋体"/>
          <w:color w:val="0000FF"/>
          <w:sz w:val="24"/>
          <w:szCs w:val="22"/>
          <w:highlight w:val="none"/>
        </w:rPr>
        <w:t>（1</w:t>
      </w:r>
      <w:r>
        <w:rPr>
          <w:rFonts w:hint="eastAsia" w:ascii="宋体" w:hAnsi="宋体" w:eastAsia="宋体"/>
          <w:color w:val="0000FF"/>
          <w:sz w:val="24"/>
          <w:szCs w:val="22"/>
          <w:highlight w:val="none"/>
          <w:lang w:val="en-US" w:eastAsia="zh-CN"/>
        </w:rPr>
        <w:t>8</w:t>
      </w:r>
      <w:r>
        <w:rPr>
          <w:rFonts w:hint="eastAsia" w:ascii="宋体" w:hAnsi="宋体" w:eastAsia="宋体"/>
          <w:color w:val="0000FF"/>
          <w:sz w:val="24"/>
          <w:szCs w:val="22"/>
          <w:highlight w:val="none"/>
        </w:rPr>
        <w:t>）不符合《政府购买服务管理办法》（财政部令第102号）承接主体的要求。</w:t>
      </w:r>
    </w:p>
    <w:p w14:paraId="52BCE45C">
      <w:pPr>
        <w:spacing w:line="360" w:lineRule="auto"/>
        <w:ind w:firstLine="480"/>
        <w:rPr>
          <w:rFonts w:hint="eastAsia" w:ascii="宋体" w:hAnsi="宋体" w:eastAsia="宋体" w:cs="宋体"/>
          <w:color w:val="0000FF"/>
          <w:sz w:val="24"/>
          <w:szCs w:val="24"/>
          <w:highlight w:val="none"/>
        </w:rPr>
      </w:pPr>
    </w:p>
    <w:p w14:paraId="31954F7D">
      <w:pPr>
        <w:pStyle w:val="189"/>
        <w:keepNext w:val="0"/>
        <w:keepLines w:val="0"/>
        <w:tabs>
          <w:tab w:val="left" w:pos="5191"/>
        </w:tabs>
        <w:spacing w:before="200" w:after="200" w:line="360" w:lineRule="auto"/>
        <w:ind w:firstLine="446"/>
        <w:rPr>
          <w:rFonts w:ascii="宋体" w:hAnsi="宋体"/>
          <w:color w:val="000000"/>
          <w:sz w:val="30"/>
          <w:highlight w:val="none"/>
        </w:rPr>
      </w:pPr>
      <w:bookmarkStart w:id="181" w:name="_Toc73364878"/>
      <w:bookmarkStart w:id="182" w:name="_Toc32039"/>
      <w:bookmarkStart w:id="183" w:name="_Toc73365491"/>
      <w:r>
        <w:rPr>
          <w:rFonts w:hint="eastAsia" w:ascii="宋体" w:hAnsi="宋体"/>
          <w:color w:val="000000"/>
          <w:sz w:val="30"/>
          <w:highlight w:val="none"/>
        </w:rPr>
        <w:t>21．串通磋商的情形</w:t>
      </w:r>
      <w:bookmarkEnd w:id="181"/>
      <w:bookmarkEnd w:id="182"/>
      <w:bookmarkEnd w:id="183"/>
    </w:p>
    <w:p w14:paraId="683511BF">
      <w:pPr>
        <w:spacing w:line="360" w:lineRule="auto"/>
        <w:ind w:firstLine="480"/>
        <w:rPr>
          <w:rFonts w:ascii="宋体" w:hAnsi="宋体"/>
          <w:color w:val="000000"/>
          <w:sz w:val="24"/>
          <w:highlight w:val="none"/>
        </w:rPr>
      </w:pPr>
      <w:r>
        <w:rPr>
          <w:rFonts w:hint="eastAsia" w:ascii="宋体" w:hAnsi="宋体"/>
          <w:color w:val="000000"/>
          <w:sz w:val="24"/>
          <w:highlight w:val="none"/>
        </w:rPr>
        <w:t>有下列情形之一的，视为供应商串通磋商，磋商无效：</w:t>
      </w:r>
    </w:p>
    <w:p w14:paraId="3BBD226C">
      <w:pPr>
        <w:spacing w:line="360" w:lineRule="auto"/>
        <w:ind w:firstLine="480"/>
        <w:rPr>
          <w:rFonts w:ascii="宋体" w:hAnsi="宋体"/>
          <w:color w:val="000000"/>
          <w:sz w:val="24"/>
          <w:highlight w:val="none"/>
        </w:rPr>
      </w:pPr>
      <w:r>
        <w:rPr>
          <w:rFonts w:hint="eastAsia" w:ascii="宋体" w:hAnsi="宋体"/>
          <w:color w:val="000000"/>
          <w:sz w:val="24"/>
          <w:highlight w:val="none"/>
        </w:rPr>
        <w:t>（1）不同供应商的响应文件由同一单位或者个人编制；</w:t>
      </w:r>
    </w:p>
    <w:p w14:paraId="35FFC10E">
      <w:pPr>
        <w:spacing w:line="360" w:lineRule="auto"/>
        <w:ind w:firstLine="480"/>
        <w:rPr>
          <w:rFonts w:ascii="宋体" w:hAnsi="宋体"/>
          <w:color w:val="000000"/>
          <w:sz w:val="24"/>
          <w:highlight w:val="none"/>
        </w:rPr>
      </w:pPr>
      <w:r>
        <w:rPr>
          <w:rFonts w:hint="eastAsia" w:ascii="宋体" w:hAnsi="宋体"/>
          <w:color w:val="000000"/>
          <w:sz w:val="24"/>
          <w:highlight w:val="none"/>
        </w:rPr>
        <w:t>（2）不同供应商委托同一单位或者个人办理磋商事宜；</w:t>
      </w:r>
    </w:p>
    <w:p w14:paraId="48CB279F">
      <w:pPr>
        <w:spacing w:line="360" w:lineRule="auto"/>
        <w:ind w:firstLine="480"/>
        <w:rPr>
          <w:rFonts w:ascii="宋体" w:hAnsi="宋体"/>
          <w:color w:val="000000"/>
          <w:sz w:val="24"/>
          <w:highlight w:val="none"/>
        </w:rPr>
      </w:pPr>
      <w:r>
        <w:rPr>
          <w:rFonts w:hint="eastAsia" w:ascii="宋体" w:hAnsi="宋体"/>
          <w:color w:val="000000"/>
          <w:sz w:val="24"/>
          <w:highlight w:val="none"/>
        </w:rPr>
        <w:t>（3）不同供应商的响应文件载明的项目管理成员或者联系人员为同一人；</w:t>
      </w:r>
    </w:p>
    <w:p w14:paraId="2F02E06B">
      <w:pPr>
        <w:spacing w:line="360" w:lineRule="auto"/>
        <w:ind w:firstLine="480"/>
        <w:rPr>
          <w:rFonts w:ascii="宋体" w:hAnsi="宋体"/>
          <w:color w:val="000000"/>
          <w:sz w:val="24"/>
          <w:highlight w:val="none"/>
        </w:rPr>
      </w:pPr>
      <w:r>
        <w:rPr>
          <w:rFonts w:hint="eastAsia" w:ascii="宋体" w:hAnsi="宋体"/>
          <w:color w:val="000000"/>
          <w:sz w:val="24"/>
          <w:highlight w:val="none"/>
        </w:rPr>
        <w:t>（4）不同供应商的响应文件异常一致或者磋商报价呈规律性差异；</w:t>
      </w:r>
    </w:p>
    <w:p w14:paraId="43CCCD70">
      <w:pPr>
        <w:spacing w:line="360" w:lineRule="auto"/>
        <w:ind w:firstLine="480"/>
        <w:rPr>
          <w:rFonts w:ascii="宋体" w:hAnsi="宋体"/>
          <w:color w:val="000000"/>
          <w:sz w:val="24"/>
          <w:highlight w:val="none"/>
        </w:rPr>
      </w:pPr>
      <w:r>
        <w:rPr>
          <w:rFonts w:hint="eastAsia" w:ascii="宋体" w:hAnsi="宋体"/>
          <w:color w:val="000000"/>
          <w:sz w:val="24"/>
          <w:highlight w:val="none"/>
        </w:rPr>
        <w:t>（5）不同供应商的响应文件相互混装。</w:t>
      </w:r>
    </w:p>
    <w:p w14:paraId="53AF87A5">
      <w:pPr>
        <w:pStyle w:val="189"/>
        <w:keepNext w:val="0"/>
        <w:keepLines w:val="0"/>
        <w:tabs>
          <w:tab w:val="left" w:pos="5191"/>
        </w:tabs>
        <w:spacing w:before="200" w:after="200" w:line="360" w:lineRule="auto"/>
        <w:ind w:firstLine="446"/>
        <w:rPr>
          <w:rFonts w:ascii="宋体" w:hAnsi="宋体"/>
          <w:color w:val="000000"/>
          <w:sz w:val="30"/>
          <w:highlight w:val="none"/>
        </w:rPr>
      </w:pPr>
      <w:bookmarkStart w:id="184" w:name="_Toc73365492"/>
      <w:bookmarkStart w:id="185" w:name="_Toc14689"/>
      <w:bookmarkStart w:id="186" w:name="_Toc73364879"/>
      <w:r>
        <w:rPr>
          <w:rFonts w:hint="eastAsia" w:ascii="宋体" w:hAnsi="宋体"/>
          <w:color w:val="000000"/>
          <w:sz w:val="30"/>
          <w:highlight w:val="none"/>
        </w:rPr>
        <w:t>22．响应文件的澄清</w:t>
      </w:r>
      <w:bookmarkEnd w:id="184"/>
      <w:bookmarkEnd w:id="185"/>
      <w:bookmarkEnd w:id="186"/>
    </w:p>
    <w:p w14:paraId="60C1E30F">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22.1供应商应根据磋商小组要求对相关问题进行澄清、说明或者补正，并加盖公章。供应商的澄清、说明或者补正不得超出响应文件的范围或者改变响应文件的实质性内容。</w:t>
      </w:r>
    </w:p>
    <w:p w14:paraId="0E101199">
      <w:pPr>
        <w:rPr>
          <w:highlight w:val="none"/>
        </w:rPr>
      </w:pPr>
      <w:bookmarkStart w:id="187" w:name="EB94a3a32d7227475d8336c257a67dafff"/>
      <w:r>
        <w:rPr>
          <w:rFonts w:hint="eastAsia"/>
          <w:color w:val="000080"/>
          <w:sz w:val="20"/>
          <w:highlight w:val="none"/>
        </w:rPr>
        <w:t xml:space="preserve"> </w:t>
      </w:r>
      <w:bookmarkEnd w:id="187"/>
    </w:p>
    <w:p w14:paraId="1810F58F">
      <w:pPr>
        <w:pStyle w:val="189"/>
        <w:keepNext w:val="0"/>
        <w:keepLines w:val="0"/>
        <w:tabs>
          <w:tab w:val="left" w:pos="5191"/>
        </w:tabs>
        <w:spacing w:before="200" w:after="200" w:line="360" w:lineRule="auto"/>
        <w:ind w:firstLine="446"/>
        <w:rPr>
          <w:rFonts w:ascii="宋体" w:hAnsi="宋体"/>
          <w:color w:val="000000"/>
          <w:sz w:val="30"/>
          <w:highlight w:val="none"/>
        </w:rPr>
      </w:pPr>
      <w:bookmarkStart w:id="188" w:name="_Toc73364880"/>
      <w:bookmarkStart w:id="189" w:name="_Toc73365493"/>
      <w:bookmarkStart w:id="190" w:name="_Toc21698"/>
      <w:r>
        <w:rPr>
          <w:rFonts w:hint="eastAsia" w:ascii="宋体" w:hAnsi="宋体"/>
          <w:color w:val="000000"/>
          <w:sz w:val="30"/>
          <w:highlight w:val="none"/>
        </w:rPr>
        <w:t>23．磋商内容</w:t>
      </w:r>
      <w:bookmarkEnd w:id="188"/>
      <w:bookmarkEnd w:id="189"/>
      <w:bookmarkEnd w:id="190"/>
    </w:p>
    <w:p w14:paraId="7FE256FB">
      <w:pPr>
        <w:spacing w:line="360" w:lineRule="auto"/>
        <w:ind w:firstLine="480"/>
        <w:rPr>
          <w:rFonts w:ascii="宋体" w:hAnsi="宋体"/>
          <w:color w:val="000000"/>
          <w:sz w:val="24"/>
          <w:highlight w:val="none"/>
        </w:rPr>
      </w:pPr>
      <w:r>
        <w:rPr>
          <w:rFonts w:hint="eastAsia" w:ascii="宋体" w:hAnsi="宋体"/>
          <w:color w:val="000000"/>
          <w:sz w:val="24"/>
          <w:highlight w:val="none"/>
        </w:rPr>
        <w:t>23.1磋商小组与符合条件的供应商就磋商文件中的技术、服务要求及合同草案条款等进行磋商。</w:t>
      </w:r>
    </w:p>
    <w:p w14:paraId="6B0F94D0">
      <w:pPr>
        <w:spacing w:line="360" w:lineRule="auto"/>
        <w:ind w:firstLine="480"/>
        <w:rPr>
          <w:rFonts w:ascii="宋体" w:hAnsi="宋体"/>
          <w:color w:val="000000"/>
          <w:sz w:val="24"/>
          <w:highlight w:val="none"/>
        </w:rPr>
      </w:pPr>
      <w:r>
        <w:rPr>
          <w:rFonts w:hint="eastAsia" w:ascii="宋体" w:hAnsi="宋体"/>
          <w:color w:val="000000"/>
          <w:sz w:val="24"/>
          <w:highlight w:val="none"/>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1328BE67">
      <w:pPr>
        <w:spacing w:line="360" w:lineRule="auto"/>
        <w:ind w:firstLine="480"/>
        <w:rPr>
          <w:rFonts w:ascii="宋体" w:hAnsi="宋体"/>
          <w:color w:val="000000"/>
          <w:sz w:val="24"/>
          <w:highlight w:val="none"/>
        </w:rPr>
      </w:pPr>
      <w:r>
        <w:rPr>
          <w:rFonts w:hint="eastAsia" w:ascii="宋体" w:hAnsi="宋体"/>
          <w:color w:val="000000"/>
          <w:sz w:val="24"/>
          <w:highlight w:val="none"/>
        </w:rPr>
        <w:t>根据磋商文件和磋商情况作出的实质性变动是磋商文件的有效组成部分，磋商小组将及时以书面形式同时通知所有参加磋商的供应商。</w:t>
      </w:r>
    </w:p>
    <w:p w14:paraId="1C1F3D53">
      <w:pPr>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供应商应当按照磋商文件的变动情况和磋商小组的要求重新提交响应文件，并由其法定代表人或授权委托代理人签字或者加盖公章。由授权委托代理人签字的，应当附法定代表人授权书。</w:t>
      </w:r>
    </w:p>
    <w:p w14:paraId="0CAE7D70">
      <w:pPr>
        <w:spacing w:line="360" w:lineRule="auto"/>
        <w:ind w:firstLine="480"/>
        <w:rPr>
          <w:rFonts w:ascii="宋体" w:hAnsi="宋体"/>
          <w:color w:val="000000"/>
          <w:sz w:val="24"/>
          <w:highlight w:val="none"/>
        </w:rPr>
      </w:pPr>
      <w:r>
        <w:rPr>
          <w:rFonts w:hint="eastAsia" w:ascii="宋体" w:hAnsi="宋体"/>
          <w:color w:val="000000"/>
          <w:sz w:val="24"/>
          <w:highlight w:val="none"/>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0E11F99C">
      <w:pPr>
        <w:pStyle w:val="189"/>
        <w:keepNext w:val="0"/>
        <w:keepLines w:val="0"/>
        <w:tabs>
          <w:tab w:val="left" w:pos="5191"/>
        </w:tabs>
        <w:spacing w:before="200" w:after="200" w:line="360" w:lineRule="auto"/>
        <w:ind w:firstLine="446"/>
        <w:rPr>
          <w:rFonts w:ascii="宋体" w:hAnsi="宋体"/>
          <w:color w:val="000000"/>
          <w:sz w:val="30"/>
          <w:highlight w:val="none"/>
        </w:rPr>
      </w:pPr>
      <w:bookmarkStart w:id="191" w:name="_Toc11045"/>
      <w:bookmarkStart w:id="192" w:name="_Toc73365494"/>
      <w:bookmarkStart w:id="193" w:name="_Toc73364881"/>
      <w:r>
        <w:rPr>
          <w:rFonts w:hint="eastAsia" w:ascii="宋体" w:hAnsi="宋体"/>
          <w:color w:val="000000"/>
          <w:sz w:val="30"/>
          <w:highlight w:val="none"/>
        </w:rPr>
        <w:t>24．最后报价的提交</w:t>
      </w:r>
      <w:bookmarkEnd w:id="191"/>
      <w:bookmarkEnd w:id="192"/>
      <w:bookmarkEnd w:id="193"/>
    </w:p>
    <w:p w14:paraId="57B398D5">
      <w:pPr>
        <w:spacing w:line="360" w:lineRule="auto"/>
        <w:ind w:left="1" w:firstLine="480"/>
        <w:rPr>
          <w:rFonts w:ascii="宋体" w:hAnsi="宋体"/>
          <w:color w:val="000000"/>
          <w:sz w:val="24"/>
          <w:highlight w:val="none"/>
        </w:rPr>
      </w:pPr>
      <w:r>
        <w:rPr>
          <w:rFonts w:hint="eastAsia" w:ascii="宋体" w:hAnsi="宋体"/>
          <w:color w:val="000000"/>
          <w:sz w:val="24"/>
          <w:highlight w:val="none"/>
        </w:rPr>
        <w:t>24.1</w:t>
      </w:r>
      <w:r>
        <w:rPr>
          <w:rFonts w:hint="eastAsia" w:ascii="宋体" w:hAnsi="宋体"/>
          <w:color w:val="FF0000"/>
          <w:sz w:val="24"/>
          <w:highlight w:val="none"/>
        </w:rPr>
        <w:t>磋商文件能够详细列明采购标的的技术、服务要求的，磋商结束后，磋商小组应当要求所有实质性响应的供应商在规定时间内提交</w:t>
      </w:r>
      <w:r>
        <w:rPr>
          <w:rFonts w:hint="eastAsia" w:ascii="宋体" w:hAnsi="宋体"/>
          <w:b/>
          <w:bCs/>
          <w:color w:val="FF0000"/>
          <w:sz w:val="24"/>
          <w:highlight w:val="none"/>
        </w:rPr>
        <w:t>最后总报价和最后明细报价</w:t>
      </w:r>
      <w:r>
        <w:rPr>
          <w:rFonts w:hint="eastAsia" w:ascii="宋体" w:hAnsi="宋体"/>
          <w:color w:val="FF0000"/>
          <w:sz w:val="24"/>
          <w:highlight w:val="none"/>
        </w:rPr>
        <w:t>，</w:t>
      </w:r>
      <w:r>
        <w:rPr>
          <w:rFonts w:hint="eastAsia" w:ascii="宋体" w:hAnsi="宋体"/>
          <w:color w:val="000000"/>
          <w:sz w:val="24"/>
          <w:highlight w:val="none"/>
        </w:rPr>
        <w:t>提交最后报价的供应商不得少于3家。</w:t>
      </w:r>
    </w:p>
    <w:p w14:paraId="089BEEA8">
      <w:pPr>
        <w:spacing w:line="360" w:lineRule="auto"/>
        <w:ind w:left="1" w:firstLine="480"/>
        <w:rPr>
          <w:rFonts w:ascii="宋体" w:hAnsi="宋体"/>
          <w:color w:val="000000"/>
          <w:sz w:val="24"/>
          <w:highlight w:val="none"/>
        </w:rPr>
      </w:pPr>
      <w:r>
        <w:rPr>
          <w:rFonts w:hint="eastAsia" w:ascii="宋体" w:hAnsi="宋体"/>
          <w:color w:val="000000"/>
          <w:sz w:val="24"/>
          <w:highlight w:val="none"/>
        </w:rPr>
        <w:t>最后报价是供应商响应文件的有效组成部分。符合《政府采购竞争性磋商采购方式管理暂行办法》第三条第四项及本须知第25.2项情形的，提交最后报价的供应商可以为2家。</w:t>
      </w:r>
    </w:p>
    <w:p w14:paraId="1558CA1F">
      <w:pPr>
        <w:pStyle w:val="189"/>
        <w:keepNext w:val="0"/>
        <w:keepLines w:val="0"/>
        <w:tabs>
          <w:tab w:val="left" w:pos="5191"/>
        </w:tabs>
        <w:spacing w:before="200" w:after="200" w:line="360" w:lineRule="auto"/>
        <w:ind w:firstLine="446"/>
        <w:rPr>
          <w:rFonts w:ascii="宋体" w:hAnsi="宋体"/>
          <w:color w:val="000000"/>
          <w:sz w:val="30"/>
          <w:highlight w:val="none"/>
        </w:rPr>
      </w:pPr>
      <w:bookmarkStart w:id="194" w:name="_Toc73364882"/>
      <w:bookmarkStart w:id="195" w:name="_Toc73365495"/>
      <w:bookmarkStart w:id="196" w:name="_Toc9309"/>
      <w:r>
        <w:rPr>
          <w:rFonts w:hint="eastAsia" w:ascii="宋体" w:hAnsi="宋体"/>
          <w:color w:val="000000"/>
          <w:sz w:val="30"/>
          <w:highlight w:val="none"/>
        </w:rPr>
        <w:t>25．</w:t>
      </w:r>
      <w:r>
        <w:rPr>
          <w:rFonts w:ascii="宋体" w:hAnsi="宋体"/>
          <w:color w:val="000000"/>
          <w:sz w:val="30"/>
          <w:highlight w:val="none"/>
        </w:rPr>
        <w:t>竞争性磋商</w:t>
      </w:r>
      <w:r>
        <w:rPr>
          <w:rFonts w:hint="eastAsia" w:ascii="宋体" w:hAnsi="宋体"/>
          <w:color w:val="000000"/>
          <w:sz w:val="30"/>
          <w:highlight w:val="none"/>
        </w:rPr>
        <w:t>特殊情况处理</w:t>
      </w:r>
      <w:bookmarkEnd w:id="194"/>
      <w:bookmarkEnd w:id="195"/>
      <w:bookmarkEnd w:id="196"/>
    </w:p>
    <w:p w14:paraId="47095CFE">
      <w:pPr>
        <w:spacing w:line="360" w:lineRule="auto"/>
        <w:ind w:firstLine="480"/>
        <w:rPr>
          <w:rFonts w:ascii="宋体" w:hAnsi="宋体"/>
          <w:color w:val="000000"/>
          <w:sz w:val="24"/>
          <w:highlight w:val="none"/>
        </w:rPr>
      </w:pPr>
      <w:r>
        <w:rPr>
          <w:rFonts w:hint="eastAsia" w:ascii="宋体" w:hAnsi="宋体"/>
          <w:color w:val="000000"/>
          <w:sz w:val="24"/>
          <w:highlight w:val="none"/>
        </w:rPr>
        <w:t>25.1</w:t>
      </w:r>
      <w:r>
        <w:rPr>
          <w:rFonts w:ascii="宋体" w:hAnsi="宋体"/>
          <w:color w:val="000000"/>
          <w:sz w:val="24"/>
          <w:highlight w:val="none"/>
        </w:rPr>
        <w:t>出现下列情形之一的，应当终止竞争性磋商采购活动，发布项目终止公告并说明原因，重新开展采购活动：</w:t>
      </w:r>
    </w:p>
    <w:p w14:paraId="7068791F">
      <w:pPr>
        <w:spacing w:line="360" w:lineRule="auto"/>
        <w:ind w:firstLine="480"/>
        <w:rPr>
          <w:rFonts w:ascii="宋体" w:hAnsi="宋体"/>
          <w:color w:val="000000"/>
          <w:sz w:val="24"/>
          <w:highlight w:val="none"/>
        </w:rPr>
      </w:pPr>
      <w:r>
        <w:rPr>
          <w:rFonts w:hint="eastAsia" w:ascii="宋体" w:hAnsi="宋体"/>
          <w:color w:val="000000"/>
          <w:sz w:val="24"/>
          <w:highlight w:val="none"/>
        </w:rPr>
        <w:t>（1）</w:t>
      </w:r>
      <w:r>
        <w:rPr>
          <w:rFonts w:ascii="宋体" w:hAnsi="宋体"/>
          <w:color w:val="000000"/>
          <w:sz w:val="24"/>
          <w:highlight w:val="none"/>
        </w:rPr>
        <w:t>因情况变化，不再符合规定的竞争性磋商采购方式适用情形的；</w:t>
      </w:r>
    </w:p>
    <w:p w14:paraId="38569A22">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出现影响采购公正的违法、违规行为的</w:t>
      </w:r>
      <w:r>
        <w:rPr>
          <w:rFonts w:hint="eastAsia" w:ascii="宋体" w:hAnsi="宋体"/>
          <w:color w:val="000000"/>
          <w:sz w:val="24"/>
          <w:highlight w:val="none"/>
        </w:rPr>
        <w:t>；</w:t>
      </w:r>
    </w:p>
    <w:p w14:paraId="11690DE7">
      <w:pPr>
        <w:spacing w:line="360" w:lineRule="auto"/>
        <w:ind w:firstLine="480"/>
        <w:rPr>
          <w:rFonts w:ascii="宋体" w:hAnsi="宋体"/>
          <w:color w:val="000000"/>
          <w:sz w:val="24"/>
          <w:highlight w:val="none"/>
        </w:rPr>
      </w:pPr>
      <w:r>
        <w:rPr>
          <w:rFonts w:hint="eastAsia" w:ascii="宋体" w:hAnsi="宋体"/>
          <w:color w:val="000000"/>
          <w:sz w:val="24"/>
          <w:highlight w:val="none"/>
        </w:rPr>
        <w:t>（3）除《政府采购竞争性磋商采购方式管理暂行办法》第三条第四项规定的情形外，在采购过程中符合要求的供应商或者报价未超过采购预算的供应商不足3家的。</w:t>
      </w:r>
    </w:p>
    <w:p w14:paraId="3B74828C">
      <w:pPr>
        <w:spacing w:line="360" w:lineRule="auto"/>
        <w:ind w:firstLine="482"/>
        <w:rPr>
          <w:rFonts w:ascii="宋体" w:hAnsi="宋体"/>
          <w:b/>
          <w:color w:val="000000"/>
          <w:sz w:val="24"/>
          <w:highlight w:val="none"/>
        </w:rPr>
      </w:pPr>
      <w:r>
        <w:rPr>
          <w:rFonts w:hint="eastAsia" w:ascii="宋体" w:hAnsi="宋体"/>
          <w:b/>
          <w:color w:val="000000"/>
          <w:sz w:val="24"/>
          <w:highlight w:val="none"/>
        </w:rPr>
        <w:t>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33627DCF">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25.3因重大变故，采购任务取消的则该磋商活动取消，采购人应当将取消理由通知所有供应商。</w:t>
      </w:r>
    </w:p>
    <w:p w14:paraId="65826609">
      <w:pPr>
        <w:rPr>
          <w:rFonts w:hint="eastAsia"/>
          <w:highlight w:val="none"/>
        </w:rPr>
      </w:pPr>
      <w:bookmarkStart w:id="197" w:name="EB8efc9736ce834ea29e77e1d3850e5174"/>
      <w:r>
        <w:rPr>
          <w:rFonts w:hint="eastAsia"/>
          <w:color w:val="000080"/>
          <w:sz w:val="20"/>
          <w:highlight w:val="none"/>
        </w:rPr>
        <w:t xml:space="preserve"> </w:t>
      </w:r>
      <w:bookmarkEnd w:id="197"/>
    </w:p>
    <w:p w14:paraId="7CEFD3A5">
      <w:pPr>
        <w:rPr>
          <w:highlight w:val="none"/>
        </w:rPr>
      </w:pPr>
      <w:bookmarkStart w:id="198" w:name="EB553c4f8e1a914e43a9cd4511ce1948ff"/>
      <w:r>
        <w:rPr>
          <w:rFonts w:hint="eastAsia"/>
          <w:color w:val="000080"/>
          <w:sz w:val="20"/>
          <w:highlight w:val="none"/>
        </w:rPr>
        <w:t xml:space="preserve"> </w:t>
      </w:r>
      <w:bookmarkEnd w:id="198"/>
      <w:bookmarkStart w:id="199" w:name="EB21b156bb45c342aeb17b81524d625120"/>
      <w:r>
        <w:rPr>
          <w:rFonts w:hint="eastAsia"/>
          <w:color w:val="000080"/>
          <w:sz w:val="20"/>
          <w:highlight w:val="none"/>
        </w:rPr>
        <w:t xml:space="preserve"> </w:t>
      </w:r>
      <w:bookmarkEnd w:id="199"/>
    </w:p>
    <w:p w14:paraId="0763074A">
      <w:pPr>
        <w:pStyle w:val="188"/>
        <w:rPr>
          <w:rFonts w:ascii="宋体" w:hAnsi="宋体" w:eastAsia="宋体"/>
          <w:color w:val="000000"/>
          <w:sz w:val="32"/>
          <w:highlight w:val="none"/>
        </w:rPr>
      </w:pPr>
      <w:bookmarkStart w:id="200" w:name="_Toc8639"/>
      <w:bookmarkStart w:id="201" w:name="_Toc73365496"/>
      <w:bookmarkStart w:id="202" w:name="_Toc73364883"/>
      <w:r>
        <w:rPr>
          <w:rFonts w:hint="eastAsia" w:ascii="宋体" w:hAnsi="宋体" w:eastAsia="宋体"/>
          <w:color w:val="000000"/>
          <w:sz w:val="32"/>
          <w:highlight w:val="none"/>
        </w:rPr>
        <w:t>五、确定成交结果</w:t>
      </w:r>
      <w:bookmarkEnd w:id="200"/>
      <w:bookmarkEnd w:id="201"/>
      <w:bookmarkEnd w:id="202"/>
    </w:p>
    <w:p w14:paraId="3BDD8DE6">
      <w:pPr>
        <w:pStyle w:val="189"/>
        <w:keepNext w:val="0"/>
        <w:keepLines w:val="0"/>
        <w:tabs>
          <w:tab w:val="left" w:pos="5191"/>
        </w:tabs>
        <w:spacing w:before="200" w:after="200" w:line="360" w:lineRule="auto"/>
        <w:ind w:firstLine="446"/>
        <w:rPr>
          <w:rFonts w:hint="eastAsia" w:ascii="宋体" w:hAnsi="宋体"/>
          <w:color w:val="000000"/>
          <w:sz w:val="30"/>
          <w:highlight w:val="none"/>
        </w:rPr>
      </w:pPr>
      <w:bookmarkStart w:id="203" w:name="_Toc73364884"/>
      <w:bookmarkStart w:id="204" w:name="_Toc73365497"/>
      <w:bookmarkStart w:id="205" w:name="_Toc5097"/>
      <w:r>
        <w:rPr>
          <w:rFonts w:hint="eastAsia" w:ascii="宋体" w:hAnsi="宋体"/>
          <w:color w:val="000000"/>
          <w:sz w:val="30"/>
          <w:highlight w:val="none"/>
        </w:rPr>
        <w:t>26．确定成交供应商</w:t>
      </w:r>
      <w:bookmarkEnd w:id="203"/>
      <w:bookmarkEnd w:id="204"/>
      <w:bookmarkEnd w:id="205"/>
    </w:p>
    <w:p w14:paraId="16E2A5D4">
      <w:pPr>
        <w:spacing w:line="360" w:lineRule="auto"/>
        <w:ind w:firstLine="480"/>
        <w:rPr>
          <w:rFonts w:hint="eastAsia"/>
          <w:sz w:val="24"/>
          <w:szCs w:val="24"/>
          <w:highlight w:val="none"/>
        </w:rPr>
      </w:pPr>
      <w:bookmarkStart w:id="206" w:name="EB3fe0db93f0354614add263878fac6db4"/>
      <w:r>
        <w:rPr>
          <w:rFonts w:hint="eastAsia"/>
          <w:color w:val="0000FF"/>
          <w:sz w:val="24"/>
          <w:szCs w:val="24"/>
          <w:highlight w:val="none"/>
        </w:rPr>
        <w:t>26.1采购人从评审报告提出的成交候选供应商中，按照评审得分由高到低的排序原则确定成交供应商。</w:t>
      </w:r>
      <w:bookmarkEnd w:id="206"/>
    </w:p>
    <w:p w14:paraId="5BD8D59F">
      <w:pPr>
        <w:rPr>
          <w:rFonts w:hint="eastAsia"/>
          <w:color w:val="000080"/>
          <w:sz w:val="20"/>
          <w:highlight w:val="none"/>
        </w:rPr>
      </w:pPr>
      <w:bookmarkStart w:id="207" w:name="EB8729e2fc7e9a469e9619e89c5e7d29ec"/>
      <w:r>
        <w:rPr>
          <w:rFonts w:hint="eastAsia"/>
          <w:color w:val="000080"/>
          <w:sz w:val="20"/>
          <w:highlight w:val="none"/>
        </w:rPr>
        <w:t xml:space="preserve"> </w:t>
      </w:r>
      <w:bookmarkEnd w:id="207"/>
    </w:p>
    <w:p w14:paraId="106F3070">
      <w:pPr>
        <w:rPr>
          <w:rFonts w:hint="eastAsia"/>
          <w:highlight w:val="none"/>
        </w:rPr>
      </w:pPr>
      <w:bookmarkStart w:id="208" w:name="EBcfb54ffd7eac4226b2539161505dc658"/>
      <w:r>
        <w:rPr>
          <w:rFonts w:hint="eastAsia"/>
          <w:color w:val="000080"/>
          <w:sz w:val="20"/>
          <w:highlight w:val="none"/>
        </w:rPr>
        <w:t xml:space="preserve"> </w:t>
      </w:r>
      <w:bookmarkEnd w:id="208"/>
      <w:bookmarkStart w:id="209" w:name="EBb036ac1cc01a455e83e17a6d3673e537"/>
      <w:r>
        <w:rPr>
          <w:rFonts w:hint="eastAsia"/>
          <w:color w:val="000080"/>
          <w:sz w:val="20"/>
          <w:highlight w:val="none"/>
        </w:rPr>
        <w:t xml:space="preserve"> </w:t>
      </w:r>
      <w:bookmarkEnd w:id="209"/>
    </w:p>
    <w:p w14:paraId="25897DE2">
      <w:pPr>
        <w:pStyle w:val="188"/>
        <w:rPr>
          <w:rFonts w:hint="eastAsia" w:ascii="宋体" w:hAnsi="宋体" w:eastAsia="宋体"/>
          <w:color w:val="000000"/>
          <w:sz w:val="32"/>
          <w:highlight w:val="none"/>
        </w:rPr>
      </w:pPr>
      <w:bookmarkStart w:id="210" w:name="_Toc73365498"/>
      <w:bookmarkStart w:id="211" w:name="_Toc20011"/>
      <w:bookmarkStart w:id="212" w:name="_Toc73364885"/>
      <w:r>
        <w:rPr>
          <w:rFonts w:hint="eastAsia" w:ascii="宋体" w:hAnsi="宋体" w:eastAsia="宋体"/>
          <w:color w:val="000000"/>
          <w:sz w:val="32"/>
          <w:highlight w:val="none"/>
        </w:rPr>
        <w:t>六、授予合同</w:t>
      </w:r>
      <w:bookmarkEnd w:id="210"/>
      <w:bookmarkEnd w:id="211"/>
      <w:bookmarkEnd w:id="212"/>
    </w:p>
    <w:p w14:paraId="3C31B217">
      <w:pPr>
        <w:pStyle w:val="189"/>
        <w:keepNext w:val="0"/>
        <w:keepLines w:val="0"/>
        <w:tabs>
          <w:tab w:val="left" w:pos="5191"/>
        </w:tabs>
        <w:spacing w:before="200" w:after="200" w:line="360" w:lineRule="auto"/>
        <w:ind w:firstLine="446"/>
        <w:rPr>
          <w:rFonts w:hint="eastAsia" w:ascii="宋体" w:hAnsi="宋体"/>
          <w:color w:val="000000"/>
          <w:sz w:val="30"/>
          <w:highlight w:val="none"/>
        </w:rPr>
      </w:pPr>
      <w:bookmarkStart w:id="213" w:name="_Toc15894"/>
      <w:bookmarkStart w:id="214" w:name="_Toc73364886"/>
      <w:bookmarkStart w:id="215" w:name="_Toc73365499"/>
      <w:r>
        <w:rPr>
          <w:rFonts w:hint="eastAsia" w:ascii="宋体" w:hAnsi="宋体"/>
          <w:color w:val="000000"/>
          <w:sz w:val="30"/>
          <w:highlight w:val="none"/>
        </w:rPr>
        <w:t>27．磋商组织方接受和拒绝任何或所有响应的权利</w:t>
      </w:r>
      <w:bookmarkEnd w:id="213"/>
      <w:bookmarkEnd w:id="214"/>
      <w:bookmarkEnd w:id="215"/>
    </w:p>
    <w:p w14:paraId="6438F3DD">
      <w:pPr>
        <w:ind w:firstLine="480"/>
        <w:rPr>
          <w:rFonts w:hint="eastAsia" w:ascii="宋体" w:hAnsi="宋体"/>
          <w:color w:val="000000"/>
          <w:sz w:val="24"/>
          <w:highlight w:val="none"/>
        </w:rPr>
      </w:pPr>
      <w:r>
        <w:rPr>
          <w:rFonts w:hint="eastAsia" w:ascii="宋体" w:hAnsi="宋体"/>
          <w:color w:val="000000"/>
          <w:sz w:val="24"/>
          <w:highlight w:val="none"/>
        </w:rPr>
        <w:t>27.1为维护国家和社会公共利益，磋商组织方保留在授标之前任何时候接受或拒绝任何供应商成交的权利，且对受影响的供应商不承担任何责任。</w:t>
      </w:r>
    </w:p>
    <w:p w14:paraId="7C9C79BA">
      <w:pPr>
        <w:rPr>
          <w:rFonts w:hint="eastAsia" w:ascii="宋体" w:hAnsi="宋体"/>
          <w:color w:val="000000"/>
          <w:sz w:val="24"/>
          <w:highlight w:val="none"/>
        </w:rPr>
      </w:pPr>
      <w:r>
        <w:rPr>
          <w:rFonts w:hint="eastAsia" w:ascii="宋体" w:hAnsi="宋体"/>
          <w:color w:val="000000"/>
          <w:sz w:val="24"/>
          <w:highlight w:val="none"/>
        </w:rPr>
        <w:t>27.2因不可抗力或成交供应商不能履约等情形，磋商组织方保留与其他候选供应商签订合同的权利。</w:t>
      </w:r>
    </w:p>
    <w:p w14:paraId="231F9EDA">
      <w:pPr>
        <w:pStyle w:val="189"/>
        <w:keepNext w:val="0"/>
        <w:keepLines w:val="0"/>
        <w:tabs>
          <w:tab w:val="left" w:pos="5191"/>
        </w:tabs>
        <w:spacing w:before="200" w:after="200" w:line="360" w:lineRule="auto"/>
        <w:ind w:firstLine="446"/>
        <w:rPr>
          <w:rFonts w:hint="eastAsia" w:ascii="宋体" w:hAnsi="宋体"/>
          <w:color w:val="000000"/>
          <w:sz w:val="30"/>
          <w:highlight w:val="none"/>
        </w:rPr>
      </w:pPr>
      <w:bookmarkStart w:id="216" w:name="_Toc73364887"/>
      <w:bookmarkStart w:id="217" w:name="_Toc73365500"/>
      <w:bookmarkStart w:id="218" w:name="_Toc24431"/>
      <w:r>
        <w:rPr>
          <w:rFonts w:hint="eastAsia" w:ascii="宋体" w:hAnsi="宋体"/>
          <w:color w:val="000000"/>
          <w:sz w:val="30"/>
          <w:highlight w:val="none"/>
        </w:rPr>
        <w:t>28．成交通知书</w:t>
      </w:r>
      <w:bookmarkEnd w:id="216"/>
      <w:bookmarkEnd w:id="217"/>
      <w:bookmarkEnd w:id="218"/>
    </w:p>
    <w:p w14:paraId="6BA938C2">
      <w:pPr>
        <w:ind w:firstLine="480"/>
        <w:rPr>
          <w:rFonts w:hint="eastAsia" w:ascii="宋体" w:hAnsi="宋体"/>
          <w:color w:val="000000"/>
          <w:sz w:val="24"/>
          <w:highlight w:val="none"/>
        </w:rPr>
      </w:pPr>
      <w:r>
        <w:rPr>
          <w:rFonts w:hint="eastAsia" w:ascii="宋体" w:hAnsi="宋体"/>
          <w:color w:val="000000"/>
          <w:sz w:val="24"/>
          <w:highlight w:val="none"/>
        </w:rPr>
        <w:t>28.1在磋商响应有效期期满之前,磋商组织方将以书面形式通知成交供应商，成交供应商在收到成交通知书后，须立即以书面形式回复磋商组织方，确认成交通知书已收，并同意接受。</w:t>
      </w:r>
    </w:p>
    <w:p w14:paraId="4DA383E4">
      <w:pPr>
        <w:ind w:firstLine="480"/>
        <w:rPr>
          <w:rFonts w:hint="eastAsia" w:ascii="宋体" w:hAnsi="宋体"/>
          <w:color w:val="000000"/>
          <w:sz w:val="24"/>
          <w:highlight w:val="none"/>
        </w:rPr>
      </w:pPr>
      <w:r>
        <w:rPr>
          <w:rFonts w:hint="eastAsia" w:ascii="宋体" w:hAnsi="宋体"/>
          <w:color w:val="000000"/>
          <w:sz w:val="24"/>
          <w:highlight w:val="none"/>
        </w:rPr>
        <w:t>28.2成交通知书发出后，采购人不得违法改变成交结果，成交供应商无正当理由不得放弃成交。</w:t>
      </w:r>
    </w:p>
    <w:p w14:paraId="0254790B">
      <w:pPr>
        <w:pStyle w:val="189"/>
        <w:keepNext w:val="0"/>
        <w:keepLines w:val="0"/>
        <w:tabs>
          <w:tab w:val="left" w:pos="5191"/>
        </w:tabs>
        <w:spacing w:before="200" w:after="200" w:line="360" w:lineRule="auto"/>
        <w:ind w:firstLine="446"/>
        <w:rPr>
          <w:rFonts w:hint="eastAsia" w:ascii="宋体" w:hAnsi="宋体"/>
          <w:color w:val="000000"/>
          <w:sz w:val="30"/>
          <w:highlight w:val="none"/>
        </w:rPr>
      </w:pPr>
      <w:bookmarkStart w:id="219" w:name="_Toc73365501"/>
      <w:bookmarkStart w:id="220" w:name="_Toc73364888"/>
      <w:bookmarkStart w:id="221" w:name="_Toc130"/>
      <w:r>
        <w:rPr>
          <w:rFonts w:hint="eastAsia" w:ascii="宋体" w:hAnsi="宋体"/>
          <w:color w:val="000000"/>
          <w:sz w:val="30"/>
          <w:highlight w:val="none"/>
        </w:rPr>
        <w:t>29．签订合同</w:t>
      </w:r>
      <w:bookmarkEnd w:id="219"/>
      <w:bookmarkEnd w:id="220"/>
      <w:bookmarkEnd w:id="221"/>
    </w:p>
    <w:p w14:paraId="4CED75C4">
      <w:pPr>
        <w:ind w:firstLine="480"/>
        <w:rPr>
          <w:rFonts w:hint="eastAsia" w:ascii="宋体" w:hAnsi="宋体"/>
          <w:color w:val="000000"/>
          <w:sz w:val="24"/>
          <w:highlight w:val="none"/>
        </w:rPr>
      </w:pPr>
      <w:r>
        <w:rPr>
          <w:rFonts w:hint="eastAsia" w:ascii="宋体" w:hAnsi="宋体"/>
          <w:color w:val="000000"/>
          <w:sz w:val="24"/>
          <w:highlight w:val="none"/>
        </w:rPr>
        <w:t>29.1采购人应当自成交通知书发出之日起</w:t>
      </w:r>
      <w:bookmarkStart w:id="222" w:name="EB51d9b032aa7249af80d45424dadc155d"/>
      <w:r>
        <w:rPr>
          <w:rFonts w:hint="eastAsia" w:ascii="宋体" w:hAnsi="宋体"/>
          <w:color w:val="0000FF"/>
          <w:sz w:val="24"/>
          <w:highlight w:val="none"/>
        </w:rPr>
        <w:t>15日</w:t>
      </w:r>
      <w:bookmarkEnd w:id="222"/>
      <w:r>
        <w:rPr>
          <w:rFonts w:hint="eastAsia" w:ascii="宋体" w:hAnsi="宋体"/>
          <w:color w:val="000000"/>
          <w:sz w:val="24"/>
          <w:highlight w:val="none"/>
        </w:rPr>
        <w:t>内，按照磋商文件、成交供应商磋商响应文件以及磋商过程中确定的事项，与成交供应商签订政府采购合同。采购人不得向成交人提出任何不合理的要求作为签订合同的条件。</w:t>
      </w:r>
    </w:p>
    <w:p w14:paraId="4E82F5BF">
      <w:pPr>
        <w:ind w:firstLine="480"/>
        <w:rPr>
          <w:rFonts w:hint="eastAsia" w:ascii="宋体" w:hAnsi="宋体"/>
          <w:color w:val="000000"/>
          <w:sz w:val="24"/>
          <w:highlight w:val="none"/>
        </w:rPr>
      </w:pPr>
      <w:r>
        <w:rPr>
          <w:rFonts w:hint="eastAsia" w:ascii="宋体" w:hAnsi="宋体"/>
          <w:color w:val="000000"/>
          <w:sz w:val="24"/>
          <w:highlight w:val="none"/>
        </w:rPr>
        <w:t>29.2政府采购合同应当包括采购人与成交人的名称和住所、标的、数量、质量、价款或者报酬、履行期限及地点和方式、验收要求、违约责任、解决争议的方法等内容。</w:t>
      </w:r>
    </w:p>
    <w:p w14:paraId="2320EA72">
      <w:pPr>
        <w:ind w:firstLine="480"/>
        <w:rPr>
          <w:rFonts w:hint="eastAsia" w:ascii="宋体" w:hAnsi="宋体"/>
          <w:color w:val="000000"/>
          <w:sz w:val="24"/>
          <w:highlight w:val="none"/>
        </w:rPr>
      </w:pPr>
      <w:r>
        <w:rPr>
          <w:rFonts w:hint="eastAsia" w:ascii="宋体" w:hAnsi="宋体"/>
          <w:color w:val="000000"/>
          <w:sz w:val="24"/>
          <w:highlight w:val="none"/>
        </w:rPr>
        <w:t>29.3合同履行中，采购人需追加与合同标的相同的服务时，在不改变合同其他条款的前提下，可以与成交人协商签订补充合同，但所有补充合同的采购金额不得超过原合同采购金额的百分之十。</w:t>
      </w:r>
    </w:p>
    <w:p w14:paraId="360B4715">
      <w:pPr>
        <w:ind w:firstLine="480"/>
        <w:rPr>
          <w:rFonts w:hint="eastAsia" w:ascii="宋体" w:hAnsi="宋体"/>
          <w:color w:val="000000"/>
          <w:sz w:val="24"/>
          <w:highlight w:val="none"/>
        </w:rPr>
      </w:pPr>
      <w:r>
        <w:rPr>
          <w:rFonts w:hint="eastAsia" w:ascii="宋体" w:hAnsi="宋体"/>
          <w:color w:val="000000"/>
          <w:sz w:val="24"/>
          <w:highlight w:val="none"/>
        </w:rPr>
        <w:t>29.4采购结束后，采购人若由于各种客观原因，必须对采购项目所牵涉的货物和服务进行适当的减少时，在双方协商一致的前提下，可以按照磋商采购时的价格水平做相应的调减，并据此签订补充合同。</w:t>
      </w:r>
    </w:p>
    <w:p w14:paraId="5D34F601">
      <w:pPr>
        <w:ind w:firstLine="480"/>
        <w:rPr>
          <w:rFonts w:hint="eastAsia" w:ascii="宋体" w:hAnsi="宋体"/>
          <w:color w:val="000000"/>
          <w:sz w:val="24"/>
          <w:highlight w:val="none"/>
        </w:rPr>
      </w:pPr>
      <w:r>
        <w:rPr>
          <w:rFonts w:hint="eastAsia" w:ascii="宋体" w:hAnsi="宋体"/>
          <w:color w:val="000000"/>
          <w:sz w:val="24"/>
          <w:highlight w:val="none"/>
        </w:rPr>
        <w:t>29.5采购人与成交人应当根据合同的约定依法履行合同义务。政府采购合同的履行、违约责任和解决争议的方法等适用</w:t>
      </w:r>
      <w:bookmarkStart w:id="223" w:name="EB756a2e5eaf4942b0afe0c5074e4df86a"/>
      <w:r>
        <w:rPr>
          <w:rFonts w:hint="eastAsia" w:ascii="宋体" w:hAnsi="宋体"/>
          <w:color w:val="0000FF"/>
          <w:sz w:val="24"/>
          <w:highlight w:val="none"/>
        </w:rPr>
        <w:t>《中华人民共和国民法典》</w:t>
      </w:r>
      <w:bookmarkEnd w:id="223"/>
      <w:r>
        <w:rPr>
          <w:rFonts w:hint="eastAsia" w:ascii="宋体" w:hAnsi="宋体"/>
          <w:color w:val="000000"/>
          <w:sz w:val="24"/>
          <w:highlight w:val="none"/>
        </w:rPr>
        <w:t>。</w:t>
      </w:r>
    </w:p>
    <w:p w14:paraId="63884A41">
      <w:pPr>
        <w:pStyle w:val="189"/>
        <w:keepNext w:val="0"/>
        <w:keepLines w:val="0"/>
        <w:tabs>
          <w:tab w:val="left" w:pos="5191"/>
        </w:tabs>
        <w:spacing w:before="200" w:after="200" w:line="360" w:lineRule="auto"/>
        <w:ind w:firstLine="446"/>
        <w:rPr>
          <w:rFonts w:hint="eastAsia" w:ascii="宋体" w:hAnsi="宋体"/>
          <w:color w:val="000000"/>
          <w:sz w:val="30"/>
          <w:highlight w:val="none"/>
        </w:rPr>
      </w:pPr>
      <w:bookmarkStart w:id="224" w:name="_Toc73364889"/>
      <w:bookmarkStart w:id="225" w:name="_Toc73365502"/>
      <w:bookmarkStart w:id="226" w:name="_Toc17567"/>
      <w:r>
        <w:rPr>
          <w:rFonts w:hint="eastAsia" w:ascii="宋体" w:hAnsi="宋体"/>
          <w:color w:val="000000"/>
          <w:sz w:val="30"/>
          <w:highlight w:val="none"/>
        </w:rPr>
        <w:t>30．履约保证金</w:t>
      </w:r>
      <w:bookmarkEnd w:id="224"/>
      <w:bookmarkEnd w:id="225"/>
      <w:bookmarkEnd w:id="226"/>
    </w:p>
    <w:p w14:paraId="1DE03ABE">
      <w:pPr>
        <w:rPr>
          <w:rFonts w:hint="eastAsia"/>
          <w:highlight w:val="none"/>
        </w:rPr>
      </w:pPr>
      <w:bookmarkStart w:id="227" w:name="EBe8f62d6faec644a29fa2d130dece78bb"/>
      <w:r>
        <w:rPr>
          <w:rFonts w:hint="eastAsia"/>
          <w:color w:val="000080"/>
          <w:sz w:val="20"/>
          <w:highlight w:val="none"/>
        </w:rPr>
        <w:t xml:space="preserve"> </w:t>
      </w:r>
      <w:bookmarkEnd w:id="227"/>
    </w:p>
    <w:p w14:paraId="20B05E0B">
      <w:pPr>
        <w:tabs>
          <w:tab w:val="left" w:pos="2321"/>
        </w:tabs>
        <w:spacing w:line="360" w:lineRule="auto"/>
        <w:ind w:firstLine="480"/>
        <w:rPr>
          <w:rFonts w:ascii="宋体" w:hAnsi="宋体"/>
          <w:sz w:val="24"/>
          <w:highlight w:val="none"/>
        </w:rPr>
      </w:pPr>
      <w:bookmarkStart w:id="228" w:name="EB9a6d0a4f62ad47868f84d3263937224b"/>
      <w:r>
        <w:rPr>
          <w:rFonts w:ascii="宋体" w:hAnsi="宋体"/>
          <w:sz w:val="24"/>
          <w:highlight w:val="none"/>
        </w:rPr>
        <w:t>30.1</w:t>
      </w:r>
      <w:r>
        <w:rPr>
          <w:rFonts w:hint="eastAsia" w:ascii="Segoe UI Symbol" w:hAnsi="Segoe UI Symbol" w:cs="Segoe UI Symbol"/>
          <w:sz w:val="24"/>
          <w:highlight w:val="none"/>
          <w:lang w:eastAsia="zh-CN"/>
        </w:rPr>
        <w:t>□</w:t>
      </w:r>
      <w:r>
        <w:rPr>
          <w:rFonts w:hint="eastAsia" w:ascii="宋体" w:hAnsi="宋体"/>
          <w:sz w:val="24"/>
          <w:highlight w:val="none"/>
        </w:rPr>
        <w:t>本项目不收取履约保证金。</w:t>
      </w:r>
    </w:p>
    <w:p w14:paraId="0C1A86ED">
      <w:pPr>
        <w:tabs>
          <w:tab w:val="left" w:pos="2321"/>
        </w:tabs>
        <w:spacing w:line="360" w:lineRule="auto"/>
        <w:ind w:firstLine="480"/>
        <w:rPr>
          <w:rFonts w:ascii="宋体" w:hAnsi="宋体"/>
          <w:sz w:val="24"/>
          <w:highlight w:val="none"/>
        </w:rPr>
      </w:pPr>
      <w:r>
        <w:rPr>
          <w:rFonts w:hint="eastAsia"/>
          <w:sz w:val="24"/>
          <w:highlight w:val="none"/>
          <w:lang w:eastAsia="zh-CN"/>
        </w:rPr>
        <w:t>☑</w:t>
      </w:r>
      <w:r>
        <w:rPr>
          <w:rFonts w:hint="eastAsia" w:ascii="宋体" w:hAnsi="宋体"/>
          <w:sz w:val="24"/>
          <w:highlight w:val="none"/>
        </w:rPr>
        <w:t>本项目中标供应商应提交合同金额</w:t>
      </w:r>
      <w:r>
        <w:rPr>
          <w:rFonts w:ascii="宋体" w:hAnsi="宋体"/>
          <w:sz w:val="24"/>
          <w:highlight w:val="none"/>
          <w:u w:val="single"/>
        </w:rPr>
        <w:t>10%</w:t>
      </w:r>
      <w:r>
        <w:rPr>
          <w:rFonts w:hint="eastAsia" w:ascii="宋体" w:hAnsi="宋体"/>
          <w:sz w:val="24"/>
          <w:highlight w:val="none"/>
        </w:rPr>
        <w:t>的履约保证金（不得超过政府采购合同金额的10%），履约保证金应以支票、汇票、本票、保函、保险保单等非现金形式缴纳或提交。</w:t>
      </w:r>
    </w:p>
    <w:p w14:paraId="7518208A">
      <w:pPr>
        <w:tabs>
          <w:tab w:val="left" w:pos="2321"/>
        </w:tabs>
        <w:spacing w:line="360" w:lineRule="auto"/>
        <w:ind w:firstLine="480"/>
        <w:rPr>
          <w:rFonts w:ascii="宋体" w:hAnsi="宋体"/>
          <w:sz w:val="24"/>
          <w:highlight w:val="none"/>
        </w:rPr>
      </w:pPr>
      <w:r>
        <w:rPr>
          <w:rFonts w:hint="eastAsia" w:ascii="宋体" w:hAnsi="宋体"/>
          <w:sz w:val="24"/>
          <w:highlight w:val="none"/>
        </w:rPr>
        <w:t>履约保证金退还的方式：以银行电汇、网上银行、数字人民币形式缴纳履约保证金的，退回至</w:t>
      </w:r>
      <w:bookmarkStart w:id="229" w:name="_Hlk173927124"/>
      <w:r>
        <w:rPr>
          <w:rFonts w:hint="eastAsia" w:ascii="宋体" w:hAnsi="宋体"/>
          <w:sz w:val="24"/>
          <w:highlight w:val="none"/>
        </w:rPr>
        <w:t>供应商</w:t>
      </w:r>
      <w:bookmarkEnd w:id="229"/>
      <w:r>
        <w:rPr>
          <w:rFonts w:hint="eastAsia" w:ascii="宋体" w:hAnsi="宋体"/>
          <w:sz w:val="24"/>
          <w:highlight w:val="none"/>
        </w:rPr>
        <w:t>存款账户或供应商数字人民币账户；以保函、担保、保险等形式缴纳履约保证金的，在保函、担保、保险约定的保证期限届满之日起自行失效；</w:t>
      </w:r>
    </w:p>
    <w:p w14:paraId="7EF077D0">
      <w:pPr>
        <w:tabs>
          <w:tab w:val="left" w:pos="2321"/>
        </w:tabs>
        <w:spacing w:line="360" w:lineRule="auto"/>
        <w:ind w:firstLine="480"/>
        <w:rPr>
          <w:rFonts w:ascii="宋体" w:hAnsi="宋体"/>
          <w:sz w:val="24"/>
          <w:highlight w:val="none"/>
        </w:rPr>
      </w:pPr>
      <w:r>
        <w:rPr>
          <w:rFonts w:hint="eastAsia" w:ascii="宋体" w:hAnsi="宋体"/>
          <w:sz w:val="24"/>
          <w:highlight w:val="none"/>
        </w:rPr>
        <w:t xml:space="preserve">履约保证金退还的条件： </w:t>
      </w:r>
    </w:p>
    <w:p w14:paraId="138CCF1F">
      <w:pPr>
        <w:tabs>
          <w:tab w:val="left" w:pos="2321"/>
        </w:tabs>
        <w:spacing w:line="360" w:lineRule="auto"/>
        <w:ind w:firstLine="480"/>
        <w:rPr>
          <w:rFonts w:ascii="宋体" w:hAnsi="宋体"/>
          <w:sz w:val="24"/>
          <w:highlight w:val="none"/>
        </w:rPr>
      </w:pPr>
      <w:r>
        <w:rPr>
          <w:rFonts w:hint="eastAsia" w:ascii="宋体" w:hAnsi="宋体"/>
          <w:sz w:val="24"/>
          <w:highlight w:val="none"/>
        </w:rPr>
        <w:t>货物类项目，项目验收合格，出具验收报告及履约保证金收据申请退付；</w:t>
      </w:r>
    </w:p>
    <w:p w14:paraId="6D261629">
      <w:pPr>
        <w:tabs>
          <w:tab w:val="left" w:pos="2321"/>
        </w:tabs>
        <w:spacing w:line="360" w:lineRule="auto"/>
        <w:ind w:firstLine="480"/>
        <w:rPr>
          <w:rFonts w:ascii="宋体" w:hAnsi="宋体"/>
          <w:sz w:val="24"/>
          <w:highlight w:val="none"/>
        </w:rPr>
      </w:pPr>
      <w:r>
        <w:rPr>
          <w:rFonts w:hint="eastAsia" w:ascii="宋体" w:hAnsi="宋体"/>
          <w:sz w:val="24"/>
          <w:highlight w:val="none"/>
        </w:rPr>
        <w:t>履约保证金退还时间：采购单位收到供应商退付申请后5个工作日内退还；</w:t>
      </w:r>
    </w:p>
    <w:p w14:paraId="5B8CBA70">
      <w:pPr>
        <w:tabs>
          <w:tab w:val="left" w:pos="2321"/>
        </w:tabs>
        <w:spacing w:line="360" w:lineRule="auto"/>
        <w:ind w:firstLine="480"/>
        <w:rPr>
          <w:rFonts w:ascii="宋体" w:hAnsi="宋体"/>
          <w:sz w:val="24"/>
          <w:highlight w:val="none"/>
        </w:rPr>
      </w:pPr>
      <w:r>
        <w:rPr>
          <w:rFonts w:hint="eastAsia" w:ascii="宋体" w:hAnsi="宋体"/>
          <w:sz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5715C1E7">
      <w:pPr>
        <w:tabs>
          <w:tab w:val="left" w:pos="2321"/>
        </w:tabs>
        <w:spacing w:line="360" w:lineRule="auto"/>
        <w:ind w:firstLine="480"/>
        <w:rPr>
          <w:rFonts w:ascii="宋体" w:hAnsi="宋体"/>
          <w:sz w:val="24"/>
          <w:highlight w:val="none"/>
        </w:rPr>
      </w:pPr>
      <w:r>
        <w:rPr>
          <w:rFonts w:hint="eastAsia" w:ascii="宋体" w:hAnsi="宋体"/>
          <w:sz w:val="24"/>
          <w:highlight w:val="none"/>
        </w:rPr>
        <w:t>逾期退还履约保证金的违约责任：除应当退还履约保证金外，还应当按中国人民银行同期贷款基准利率上浮 20％后的利率支付超期资金占用费，但因供应商自身原因导致无法及时退还的除外。</w:t>
      </w:r>
    </w:p>
    <w:p w14:paraId="5FF0683E">
      <w:pPr>
        <w:spacing w:line="360" w:lineRule="auto"/>
        <w:ind w:firstLine="480"/>
        <w:rPr>
          <w:rFonts w:hint="eastAsia"/>
          <w:highlight w:val="none"/>
        </w:rPr>
      </w:pPr>
      <w:r>
        <w:rPr>
          <w:rFonts w:hint="eastAsia" w:ascii="宋体" w:hAnsi="宋体"/>
          <w:sz w:val="24"/>
          <w:highlight w:val="none"/>
        </w:rPr>
        <w:t>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color w:val="000080"/>
          <w:sz w:val="20"/>
          <w:highlight w:val="none"/>
        </w:rPr>
        <w:t xml:space="preserve"> </w:t>
      </w:r>
      <w:bookmarkEnd w:id="228"/>
      <w:bookmarkStart w:id="230" w:name="EB247c045a5afb4bc095d14f36d472f17c"/>
      <w:r>
        <w:rPr>
          <w:rFonts w:hint="eastAsia"/>
          <w:color w:val="000080"/>
          <w:sz w:val="20"/>
          <w:highlight w:val="none"/>
        </w:rPr>
        <w:t xml:space="preserve"> </w:t>
      </w:r>
      <w:bookmarkEnd w:id="230"/>
    </w:p>
    <w:p w14:paraId="18C12D76">
      <w:pPr>
        <w:rPr>
          <w:rFonts w:hint="eastAsia"/>
          <w:highlight w:val="none"/>
        </w:rPr>
      </w:pPr>
      <w:bookmarkStart w:id="231" w:name="EBe3c9b8d23491449395014b567a8f987b"/>
      <w:r>
        <w:rPr>
          <w:rFonts w:hint="eastAsia"/>
          <w:color w:val="000080"/>
          <w:sz w:val="20"/>
          <w:highlight w:val="none"/>
        </w:rPr>
        <w:t xml:space="preserve"> </w:t>
      </w:r>
      <w:bookmarkEnd w:id="231"/>
    </w:p>
    <w:p w14:paraId="17B7ADFB">
      <w:pPr>
        <w:pStyle w:val="188"/>
        <w:rPr>
          <w:rFonts w:ascii="宋体" w:hAnsi="宋体" w:eastAsia="宋体"/>
          <w:color w:val="000000"/>
          <w:sz w:val="32"/>
          <w:highlight w:val="none"/>
        </w:rPr>
      </w:pPr>
      <w:bookmarkStart w:id="232" w:name="_Toc7733"/>
      <w:bookmarkStart w:id="233" w:name="_Toc73365503"/>
      <w:bookmarkStart w:id="234" w:name="_Toc73364890"/>
      <w:r>
        <w:rPr>
          <w:rFonts w:hint="eastAsia" w:ascii="宋体" w:hAnsi="宋体" w:eastAsia="宋体"/>
          <w:color w:val="000000"/>
          <w:sz w:val="32"/>
          <w:highlight w:val="none"/>
        </w:rPr>
        <w:t>七、询问、质疑、投诉</w:t>
      </w:r>
      <w:bookmarkEnd w:id="232"/>
      <w:bookmarkEnd w:id="233"/>
      <w:bookmarkEnd w:id="234"/>
    </w:p>
    <w:p w14:paraId="4563C09D">
      <w:pPr>
        <w:pStyle w:val="189"/>
        <w:keepNext w:val="0"/>
        <w:keepLines w:val="0"/>
        <w:tabs>
          <w:tab w:val="left" w:pos="5191"/>
        </w:tabs>
        <w:spacing w:before="200" w:after="200" w:line="360" w:lineRule="auto"/>
        <w:ind w:firstLine="446"/>
        <w:rPr>
          <w:rFonts w:ascii="宋体" w:hAnsi="宋体"/>
          <w:color w:val="000000"/>
          <w:sz w:val="30"/>
          <w:highlight w:val="none"/>
        </w:rPr>
      </w:pPr>
      <w:bookmarkStart w:id="235" w:name="_Toc73364891"/>
      <w:bookmarkStart w:id="236" w:name="_Toc3036"/>
      <w:bookmarkStart w:id="237" w:name="_Toc73365504"/>
      <w:r>
        <w:rPr>
          <w:rFonts w:hint="eastAsia" w:ascii="宋体" w:hAnsi="宋体"/>
          <w:color w:val="000000"/>
          <w:sz w:val="30"/>
          <w:highlight w:val="none"/>
        </w:rPr>
        <w:t>31．询问</w:t>
      </w:r>
      <w:bookmarkEnd w:id="235"/>
      <w:bookmarkEnd w:id="236"/>
      <w:bookmarkEnd w:id="237"/>
    </w:p>
    <w:p w14:paraId="3C730257">
      <w:pPr>
        <w:spacing w:line="360" w:lineRule="auto"/>
        <w:ind w:firstLine="600"/>
        <w:rPr>
          <w:rFonts w:ascii="宋体" w:hAnsi="宋体"/>
          <w:color w:val="000000"/>
          <w:sz w:val="24"/>
          <w:highlight w:val="none"/>
        </w:rPr>
      </w:pPr>
      <w:r>
        <w:rPr>
          <w:rFonts w:hint="eastAsia" w:ascii="宋体" w:hAnsi="宋体"/>
          <w:color w:val="000000"/>
          <w:sz w:val="24"/>
          <w:highlight w:val="none"/>
        </w:rPr>
        <w:t>供应商对磋商活动事项有疑问的，可以向采购人或磋商组织方提出询问，采购人或磋商组织方将依法作出答复，但答复的内容不得涉及商业秘密。</w:t>
      </w:r>
    </w:p>
    <w:p w14:paraId="1769A155">
      <w:pPr>
        <w:pStyle w:val="189"/>
        <w:keepNext w:val="0"/>
        <w:keepLines w:val="0"/>
        <w:tabs>
          <w:tab w:val="left" w:pos="5191"/>
        </w:tabs>
        <w:spacing w:before="200" w:after="200" w:line="360" w:lineRule="auto"/>
        <w:ind w:firstLine="446"/>
        <w:rPr>
          <w:rFonts w:ascii="宋体" w:hAnsi="宋体"/>
          <w:color w:val="000000"/>
          <w:sz w:val="30"/>
          <w:highlight w:val="none"/>
        </w:rPr>
      </w:pPr>
      <w:bookmarkStart w:id="238" w:name="_Toc20256"/>
      <w:bookmarkStart w:id="239" w:name="_Toc73364892"/>
      <w:bookmarkStart w:id="240" w:name="_Toc73365505"/>
      <w:r>
        <w:rPr>
          <w:rFonts w:hint="eastAsia" w:ascii="宋体" w:hAnsi="宋体"/>
          <w:color w:val="000000"/>
          <w:sz w:val="30"/>
          <w:highlight w:val="none"/>
        </w:rPr>
        <w:t>32．质疑</w:t>
      </w:r>
      <w:bookmarkEnd w:id="238"/>
      <w:bookmarkEnd w:id="239"/>
      <w:bookmarkEnd w:id="240"/>
    </w:p>
    <w:p w14:paraId="2187D19F">
      <w:pPr>
        <w:spacing w:line="360" w:lineRule="auto"/>
        <w:ind w:firstLine="480"/>
        <w:rPr>
          <w:rFonts w:ascii="宋体" w:hAnsi="宋体"/>
          <w:sz w:val="24"/>
          <w:szCs w:val="24"/>
          <w:highlight w:val="none"/>
        </w:rPr>
      </w:pPr>
      <w:r>
        <w:rPr>
          <w:rFonts w:hint="eastAsia" w:ascii="宋体" w:hAnsi="宋体"/>
          <w:sz w:val="24"/>
          <w:szCs w:val="24"/>
          <w:highlight w:val="none"/>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7BD26E7E">
      <w:pPr>
        <w:spacing w:line="360" w:lineRule="auto"/>
        <w:ind w:firstLine="480"/>
        <w:rPr>
          <w:rFonts w:ascii="宋体" w:hAnsi="宋体"/>
          <w:sz w:val="24"/>
          <w:szCs w:val="24"/>
          <w:highlight w:val="none"/>
        </w:rPr>
      </w:pPr>
      <w:r>
        <w:rPr>
          <w:rFonts w:hint="eastAsia" w:ascii="宋体" w:hAnsi="宋体"/>
          <w:sz w:val="24"/>
          <w:szCs w:val="24"/>
          <w:highlight w:val="none"/>
        </w:rPr>
        <w:t>以上规定的供应商应知其权益受到损害之日，是指：</w:t>
      </w:r>
    </w:p>
    <w:p w14:paraId="619DE01A">
      <w:pPr>
        <w:spacing w:line="360" w:lineRule="auto"/>
        <w:ind w:firstLine="480"/>
        <w:rPr>
          <w:rFonts w:ascii="宋体" w:hAnsi="宋体"/>
          <w:sz w:val="24"/>
          <w:szCs w:val="24"/>
          <w:highlight w:val="none"/>
        </w:rPr>
      </w:pPr>
      <w:r>
        <w:rPr>
          <w:rFonts w:hint="eastAsia" w:ascii="宋体" w:hAnsi="宋体"/>
          <w:sz w:val="24"/>
          <w:szCs w:val="24"/>
          <w:highlight w:val="none"/>
        </w:rPr>
        <w:t>（1）对可以质疑的采购文件提出质疑的，为收到采购文件之日或者采购文件公告期限届满之日；</w:t>
      </w:r>
    </w:p>
    <w:p w14:paraId="709F4AB5">
      <w:pPr>
        <w:spacing w:line="360" w:lineRule="auto"/>
        <w:ind w:firstLine="480"/>
        <w:rPr>
          <w:rFonts w:ascii="宋体" w:hAnsi="宋体"/>
          <w:sz w:val="24"/>
          <w:szCs w:val="24"/>
          <w:highlight w:val="none"/>
        </w:rPr>
      </w:pPr>
      <w:r>
        <w:rPr>
          <w:rFonts w:hint="eastAsia" w:ascii="宋体" w:hAnsi="宋体"/>
          <w:sz w:val="24"/>
          <w:szCs w:val="24"/>
          <w:highlight w:val="none"/>
        </w:rPr>
        <w:t>（2）对采购过程提出质疑的，为各采购程序环节结束之日；</w:t>
      </w:r>
    </w:p>
    <w:p w14:paraId="504E19BB">
      <w:pPr>
        <w:spacing w:line="360" w:lineRule="auto"/>
        <w:ind w:firstLine="480"/>
        <w:rPr>
          <w:rFonts w:ascii="宋体" w:hAnsi="宋体"/>
          <w:sz w:val="24"/>
          <w:szCs w:val="24"/>
          <w:highlight w:val="none"/>
        </w:rPr>
      </w:pPr>
      <w:r>
        <w:rPr>
          <w:rFonts w:hint="eastAsia" w:ascii="宋体" w:hAnsi="宋体"/>
          <w:sz w:val="24"/>
          <w:szCs w:val="24"/>
          <w:highlight w:val="none"/>
        </w:rPr>
        <w:t>（3）对中标结果提出质疑的，为中标结果公告期限届满之日。</w:t>
      </w:r>
    </w:p>
    <w:p w14:paraId="30EEB0AC">
      <w:pPr>
        <w:spacing w:line="360" w:lineRule="auto"/>
        <w:ind w:firstLine="480"/>
        <w:rPr>
          <w:rFonts w:ascii="宋体" w:hAnsi="宋体"/>
          <w:sz w:val="24"/>
          <w:szCs w:val="24"/>
          <w:highlight w:val="none"/>
        </w:rPr>
      </w:pPr>
      <w:r>
        <w:rPr>
          <w:rFonts w:hint="eastAsia" w:ascii="宋体" w:hAnsi="宋体"/>
          <w:sz w:val="24"/>
          <w:szCs w:val="24"/>
          <w:highlight w: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241" w:name="_Hlk132706924"/>
      <w:r>
        <w:rPr>
          <w:rFonts w:hint="eastAsia" w:ascii="宋体" w:hAnsi="宋体"/>
          <w:sz w:val="24"/>
          <w:szCs w:val="24"/>
          <w:highlight w:val="none"/>
        </w:rPr>
        <w:t>政府采购监管部门</w:t>
      </w:r>
      <w:bookmarkEnd w:id="241"/>
      <w:r>
        <w:rPr>
          <w:rFonts w:hint="eastAsia" w:ascii="宋体" w:hAnsi="宋体"/>
          <w:sz w:val="24"/>
          <w:szCs w:val="24"/>
          <w:highlight w:val="none"/>
        </w:rPr>
        <w:t>将其列入不良行为记录名单，并依法予以处罚。</w:t>
      </w:r>
    </w:p>
    <w:p w14:paraId="748841BC">
      <w:pPr>
        <w:spacing w:line="360" w:lineRule="auto"/>
        <w:ind w:firstLine="480"/>
        <w:rPr>
          <w:rFonts w:ascii="宋体" w:hAnsi="宋体"/>
          <w:b/>
          <w:sz w:val="24"/>
          <w:szCs w:val="24"/>
          <w:highlight w:val="none"/>
        </w:rPr>
      </w:pPr>
      <w:r>
        <w:rPr>
          <w:rFonts w:hint="eastAsia" w:ascii="宋体" w:hAnsi="宋体"/>
          <w:sz w:val="24"/>
          <w:szCs w:val="24"/>
          <w:highlight w:val="none"/>
        </w:rPr>
        <w:t>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2FE39F39">
      <w:pPr>
        <w:spacing w:line="360" w:lineRule="auto"/>
        <w:ind w:firstLine="480"/>
        <w:rPr>
          <w:rFonts w:ascii="宋体" w:hAnsi="宋体"/>
          <w:sz w:val="24"/>
          <w:szCs w:val="24"/>
          <w:highlight w:val="none"/>
        </w:rPr>
      </w:pPr>
      <w:r>
        <w:rPr>
          <w:rFonts w:hint="eastAsia" w:ascii="宋体" w:hAnsi="宋体"/>
          <w:sz w:val="24"/>
          <w:szCs w:val="24"/>
          <w:highlight w:val="none"/>
        </w:rPr>
        <w:t>32.4采购人不得拒收质疑供应商在法定质疑期内发出的质疑函，应当在收到质疑函后7个工作日内作出答复，并以书面形式通知质疑供应商和其他有关供应商。</w:t>
      </w:r>
    </w:p>
    <w:p w14:paraId="647833B8">
      <w:pPr>
        <w:spacing w:line="360" w:lineRule="auto"/>
        <w:ind w:firstLine="480"/>
        <w:rPr>
          <w:rFonts w:ascii="宋体" w:hAnsi="宋体"/>
          <w:sz w:val="24"/>
          <w:szCs w:val="24"/>
          <w:highlight w:val="none"/>
        </w:rPr>
      </w:pPr>
      <w:r>
        <w:rPr>
          <w:rFonts w:hint="eastAsia" w:ascii="宋体" w:hAnsi="宋体"/>
          <w:sz w:val="24"/>
          <w:szCs w:val="24"/>
          <w:highlight w:val="none"/>
        </w:rPr>
        <w:t>32.5本项目采购人及谈判组织方只接收以纸质原件形式送达的质疑。（本项目采购人及谈判组织方不接受未填写快递运单的快件）</w:t>
      </w:r>
    </w:p>
    <w:p w14:paraId="3A5FC58E">
      <w:pPr>
        <w:spacing w:line="360" w:lineRule="auto"/>
        <w:ind w:firstLine="480"/>
        <w:rPr>
          <w:rFonts w:ascii="宋体" w:hAnsi="宋体"/>
          <w:sz w:val="24"/>
          <w:szCs w:val="24"/>
          <w:highlight w:val="none"/>
        </w:rPr>
      </w:pPr>
      <w:r>
        <w:rPr>
          <w:rFonts w:hint="eastAsia" w:ascii="宋体" w:hAnsi="宋体"/>
          <w:sz w:val="24"/>
          <w:szCs w:val="24"/>
          <w:highlight w:val="none"/>
        </w:rPr>
        <w:t>接收部门: 江苏</w:t>
      </w:r>
      <w:r>
        <w:rPr>
          <w:rFonts w:hint="eastAsia" w:ascii="宋体" w:hAnsi="宋体"/>
          <w:sz w:val="24"/>
          <w:szCs w:val="24"/>
          <w:highlight w:val="none"/>
          <w:lang w:val="en-US" w:eastAsia="zh-CN"/>
        </w:rPr>
        <w:t>正德建设管理</w:t>
      </w:r>
      <w:r>
        <w:rPr>
          <w:rFonts w:hint="eastAsia" w:ascii="宋体" w:hAnsi="宋体"/>
          <w:sz w:val="24"/>
          <w:szCs w:val="24"/>
          <w:highlight w:val="none"/>
        </w:rPr>
        <w:t>有限公司</w:t>
      </w:r>
    </w:p>
    <w:p w14:paraId="2990AED0">
      <w:pPr>
        <w:spacing w:line="360" w:lineRule="auto"/>
        <w:ind w:firstLine="480"/>
        <w:rPr>
          <w:rFonts w:hint="eastAsia" w:ascii="宋体" w:hAnsi="宋体"/>
          <w:sz w:val="24"/>
          <w:szCs w:val="24"/>
          <w:highlight w:val="none"/>
        </w:rPr>
      </w:pPr>
      <w:r>
        <w:rPr>
          <w:rFonts w:hint="eastAsia" w:ascii="宋体" w:hAnsi="宋体"/>
          <w:sz w:val="24"/>
          <w:szCs w:val="24"/>
          <w:highlight w:val="none"/>
        </w:rPr>
        <w:t xml:space="preserve">接收地址: </w:t>
      </w:r>
      <w:r>
        <w:rPr>
          <w:rFonts w:hint="eastAsia" w:ascii="宋体" w:hAnsi="宋体"/>
          <w:sz w:val="24"/>
          <w:szCs w:val="24"/>
          <w:highlight w:val="none"/>
          <w:lang w:eastAsia="zh-CN"/>
        </w:rPr>
        <w:t>丹阳市开发区兰陵路</w:t>
      </w:r>
      <w:r>
        <w:rPr>
          <w:rFonts w:hint="eastAsia" w:ascii="宋体" w:hAnsi="宋体"/>
          <w:sz w:val="24"/>
          <w:szCs w:val="24"/>
          <w:highlight w:val="none"/>
          <w:lang w:val="en-US" w:eastAsia="zh-CN"/>
        </w:rPr>
        <w:t>9</w:t>
      </w:r>
      <w:r>
        <w:rPr>
          <w:rFonts w:hint="eastAsia" w:ascii="宋体" w:hAnsi="宋体"/>
          <w:sz w:val="24"/>
          <w:szCs w:val="24"/>
          <w:highlight w:val="none"/>
          <w:lang w:eastAsia="zh-CN"/>
        </w:rPr>
        <w:t>号</w:t>
      </w:r>
      <w:r>
        <w:rPr>
          <w:rFonts w:hint="eastAsia" w:ascii="宋体" w:hAnsi="宋体"/>
          <w:sz w:val="24"/>
          <w:szCs w:val="24"/>
          <w:highlight w:val="none"/>
          <w:lang w:val="en-US" w:eastAsia="zh-CN"/>
        </w:rPr>
        <w:t>丽都国际15楼1513室</w:t>
      </w:r>
    </w:p>
    <w:p w14:paraId="6698EAB6">
      <w:pPr>
        <w:spacing w:line="360" w:lineRule="auto"/>
        <w:ind w:firstLine="480"/>
        <w:rPr>
          <w:rFonts w:ascii="宋体" w:hAnsi="宋体"/>
          <w:sz w:val="24"/>
          <w:szCs w:val="24"/>
          <w:highlight w:val="none"/>
        </w:rPr>
      </w:pPr>
      <w:r>
        <w:rPr>
          <w:rFonts w:hint="eastAsia" w:ascii="宋体" w:hAnsi="宋体"/>
          <w:sz w:val="24"/>
          <w:szCs w:val="24"/>
          <w:highlight w:val="none"/>
        </w:rPr>
        <w:t>联系电话:0511-869218</w:t>
      </w:r>
      <w:r>
        <w:rPr>
          <w:rFonts w:hint="eastAsia" w:ascii="宋体" w:hAnsi="宋体"/>
          <w:sz w:val="24"/>
          <w:szCs w:val="24"/>
          <w:highlight w:val="none"/>
          <w:lang w:val="en-US" w:eastAsia="zh-CN"/>
        </w:rPr>
        <w:t>08</w:t>
      </w:r>
    </w:p>
    <w:p w14:paraId="64F4F900">
      <w:pPr>
        <w:spacing w:line="360" w:lineRule="auto"/>
        <w:ind w:firstLine="480"/>
        <w:rPr>
          <w:rFonts w:ascii="宋体" w:hAnsi="宋体"/>
          <w:sz w:val="24"/>
          <w:szCs w:val="24"/>
          <w:highlight w:val="none"/>
        </w:rPr>
      </w:pPr>
      <w:r>
        <w:rPr>
          <w:rFonts w:hint="eastAsia" w:ascii="宋体" w:hAnsi="宋体"/>
          <w:sz w:val="24"/>
          <w:szCs w:val="24"/>
          <w:highlight w:val="none"/>
        </w:rPr>
        <w:t>32.6以下情形的质疑不予受理：</w:t>
      </w:r>
    </w:p>
    <w:p w14:paraId="00B63D7A">
      <w:pPr>
        <w:spacing w:line="360" w:lineRule="auto"/>
        <w:ind w:firstLine="480"/>
        <w:rPr>
          <w:rFonts w:ascii="宋体" w:hAnsi="宋体"/>
          <w:sz w:val="24"/>
          <w:szCs w:val="24"/>
          <w:highlight w:val="none"/>
        </w:rPr>
      </w:pPr>
      <w:r>
        <w:rPr>
          <w:rFonts w:hint="eastAsia" w:ascii="宋体" w:hAnsi="宋体"/>
          <w:sz w:val="24"/>
          <w:szCs w:val="24"/>
          <w:highlight w:val="none"/>
        </w:rPr>
        <w:t>32.6.1内容不符合《政府采购质疑和投诉办法》第十二条规定的质疑。</w:t>
      </w:r>
    </w:p>
    <w:p w14:paraId="76A62609">
      <w:pPr>
        <w:spacing w:line="360" w:lineRule="auto"/>
        <w:ind w:firstLine="480"/>
        <w:rPr>
          <w:rFonts w:ascii="宋体" w:hAnsi="宋体"/>
          <w:sz w:val="24"/>
          <w:szCs w:val="24"/>
          <w:highlight w:val="none"/>
        </w:rPr>
      </w:pPr>
      <w:r>
        <w:rPr>
          <w:rFonts w:hint="eastAsia" w:ascii="宋体" w:hAnsi="宋体"/>
          <w:sz w:val="24"/>
          <w:szCs w:val="24"/>
          <w:highlight w:val="none"/>
        </w:rPr>
        <w:t>32.6.2超出政府采购法定期限的质疑。</w:t>
      </w:r>
    </w:p>
    <w:p w14:paraId="2A40C5FB">
      <w:pPr>
        <w:spacing w:line="360" w:lineRule="auto"/>
        <w:ind w:firstLine="480"/>
        <w:rPr>
          <w:rFonts w:ascii="宋体" w:hAnsi="宋体"/>
          <w:sz w:val="24"/>
          <w:szCs w:val="24"/>
          <w:highlight w:val="none"/>
        </w:rPr>
      </w:pPr>
      <w:r>
        <w:rPr>
          <w:rFonts w:hint="eastAsia" w:ascii="宋体" w:hAnsi="宋体"/>
          <w:sz w:val="24"/>
          <w:szCs w:val="24"/>
          <w:highlight w:val="none"/>
        </w:rPr>
        <w:t>32.6.3以传真、电子邮件等方式递交的非原件形式的质疑。</w:t>
      </w:r>
    </w:p>
    <w:p w14:paraId="368762E0">
      <w:pPr>
        <w:spacing w:line="360" w:lineRule="auto"/>
        <w:ind w:firstLine="480"/>
        <w:rPr>
          <w:rFonts w:ascii="宋体" w:hAnsi="宋体"/>
          <w:sz w:val="24"/>
          <w:szCs w:val="24"/>
          <w:highlight w:val="none"/>
        </w:rPr>
      </w:pPr>
      <w:r>
        <w:rPr>
          <w:rFonts w:hint="eastAsia" w:ascii="宋体" w:hAnsi="宋体"/>
          <w:sz w:val="24"/>
          <w:szCs w:val="24"/>
          <w:highlight w:val="none"/>
        </w:rPr>
        <w:t>32.6.4未参加投标活动的供应商或在投标活动中自身权益未受到损害的供应商所提出的质疑。</w:t>
      </w:r>
    </w:p>
    <w:p w14:paraId="64AA6A17">
      <w:pPr>
        <w:spacing w:line="360" w:lineRule="auto"/>
        <w:ind w:firstLine="480"/>
        <w:rPr>
          <w:rFonts w:ascii="宋体" w:hAnsi="宋体"/>
          <w:color w:val="000000"/>
          <w:sz w:val="24"/>
          <w:highlight w:val="none"/>
        </w:rPr>
      </w:pPr>
      <w:r>
        <w:rPr>
          <w:rFonts w:hint="eastAsia" w:ascii="宋体" w:hAnsi="宋体"/>
          <w:sz w:val="24"/>
          <w:szCs w:val="24"/>
          <w:highlight w:val="none"/>
        </w:rPr>
        <w:t>32.6.5供应商组成联合体参加投标，联合体中任何一方或多方未按要求签字、盖章、加盖公章的质疑</w:t>
      </w:r>
      <w:r>
        <w:rPr>
          <w:rFonts w:hint="eastAsia" w:ascii="宋体" w:hAnsi="宋体"/>
          <w:color w:val="000000"/>
          <w:sz w:val="24"/>
          <w:highlight w:val="none"/>
        </w:rPr>
        <w:t>。</w:t>
      </w:r>
    </w:p>
    <w:p w14:paraId="2981668E">
      <w:pPr>
        <w:pStyle w:val="189"/>
        <w:keepNext w:val="0"/>
        <w:keepLines w:val="0"/>
        <w:tabs>
          <w:tab w:val="left" w:pos="5191"/>
        </w:tabs>
        <w:spacing w:before="200" w:after="200" w:line="360" w:lineRule="auto"/>
        <w:ind w:firstLine="446"/>
        <w:rPr>
          <w:rFonts w:ascii="宋体" w:hAnsi="宋体"/>
          <w:color w:val="000000"/>
          <w:sz w:val="30"/>
          <w:highlight w:val="none"/>
        </w:rPr>
      </w:pPr>
      <w:bookmarkStart w:id="242" w:name="_Toc73365506"/>
      <w:bookmarkStart w:id="243" w:name="_Toc11868"/>
      <w:bookmarkStart w:id="244" w:name="_Toc73364893"/>
      <w:r>
        <w:rPr>
          <w:rFonts w:hint="eastAsia" w:ascii="宋体" w:hAnsi="宋体"/>
          <w:color w:val="000000"/>
          <w:sz w:val="30"/>
          <w:highlight w:val="none"/>
        </w:rPr>
        <w:t>33．投诉</w:t>
      </w:r>
      <w:bookmarkEnd w:id="242"/>
      <w:bookmarkEnd w:id="243"/>
      <w:bookmarkEnd w:id="244"/>
    </w:p>
    <w:p w14:paraId="11780D84">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质疑供应商对采购人、磋商组织方的答复不满意，或者采购人、磋商组织方未在规定的时间内作出答复的，可以在答复期满后十五个工作日内向采购项目同级财政部门投诉。</w:t>
      </w:r>
    </w:p>
    <w:p w14:paraId="4A7E7FAA">
      <w:pPr>
        <w:rPr>
          <w:rFonts w:hint="eastAsia"/>
          <w:highlight w:val="none"/>
        </w:rPr>
      </w:pPr>
      <w:bookmarkStart w:id="245" w:name="EB4dbaea8aee50486696f617d1e2d7db77"/>
      <w:r>
        <w:rPr>
          <w:rFonts w:hint="eastAsia"/>
          <w:color w:val="000080"/>
          <w:sz w:val="20"/>
          <w:highlight w:val="none"/>
        </w:rPr>
        <w:t xml:space="preserve"> </w:t>
      </w:r>
      <w:bookmarkEnd w:id="245"/>
    </w:p>
    <w:p w14:paraId="64E101D9">
      <w:pPr>
        <w:rPr>
          <w:highlight w:val="none"/>
        </w:rPr>
      </w:pPr>
      <w:bookmarkStart w:id="246" w:name="EB3c0721c9865b444e9456abf2f3c695c4"/>
      <w:r>
        <w:rPr>
          <w:rFonts w:hint="eastAsia"/>
          <w:color w:val="000080"/>
          <w:sz w:val="20"/>
          <w:highlight w:val="none"/>
        </w:rPr>
        <w:t xml:space="preserve"> </w:t>
      </w:r>
      <w:bookmarkEnd w:id="246"/>
      <w:bookmarkStart w:id="247" w:name="EB6d1f8083e6294cdcaee8ee2113f5bfdf"/>
      <w:r>
        <w:rPr>
          <w:rFonts w:hint="eastAsia"/>
          <w:color w:val="000080"/>
          <w:sz w:val="20"/>
          <w:highlight w:val="none"/>
        </w:rPr>
        <w:t xml:space="preserve"> </w:t>
      </w:r>
      <w:bookmarkEnd w:id="247"/>
    </w:p>
    <w:p w14:paraId="3F6C6F56">
      <w:pPr>
        <w:pStyle w:val="188"/>
        <w:rPr>
          <w:rFonts w:ascii="宋体" w:hAnsi="宋体" w:eastAsia="宋体"/>
          <w:color w:val="000000"/>
          <w:sz w:val="32"/>
          <w:highlight w:val="none"/>
        </w:rPr>
      </w:pPr>
      <w:bookmarkStart w:id="248" w:name="_Toc27773"/>
      <w:bookmarkStart w:id="249" w:name="_Toc73364894"/>
      <w:bookmarkStart w:id="250" w:name="_Toc73365507"/>
      <w:r>
        <w:rPr>
          <w:rFonts w:hint="eastAsia" w:ascii="宋体" w:hAnsi="宋体" w:eastAsia="宋体"/>
          <w:color w:val="000000"/>
          <w:sz w:val="32"/>
          <w:highlight w:val="none"/>
        </w:rPr>
        <w:t>八、诚实信用和解释权</w:t>
      </w:r>
      <w:bookmarkEnd w:id="248"/>
      <w:bookmarkEnd w:id="249"/>
      <w:bookmarkEnd w:id="250"/>
    </w:p>
    <w:p w14:paraId="1579154E">
      <w:pPr>
        <w:pStyle w:val="189"/>
        <w:keepNext w:val="0"/>
        <w:keepLines w:val="0"/>
        <w:tabs>
          <w:tab w:val="left" w:pos="5191"/>
        </w:tabs>
        <w:spacing w:before="200" w:after="200" w:line="360" w:lineRule="auto"/>
        <w:ind w:firstLine="446"/>
        <w:rPr>
          <w:rFonts w:ascii="宋体" w:hAnsi="宋体"/>
          <w:color w:val="000000"/>
          <w:sz w:val="30"/>
          <w:highlight w:val="none"/>
        </w:rPr>
      </w:pPr>
      <w:bookmarkStart w:id="251" w:name="_Toc22987"/>
      <w:bookmarkStart w:id="252" w:name="_Toc73364895"/>
      <w:bookmarkStart w:id="253" w:name="_Toc73365508"/>
      <w:r>
        <w:rPr>
          <w:rFonts w:hint="eastAsia" w:ascii="宋体" w:hAnsi="宋体"/>
          <w:color w:val="000000"/>
          <w:sz w:val="30"/>
          <w:highlight w:val="none"/>
        </w:rPr>
        <w:t>34．诚实信用</w:t>
      </w:r>
      <w:bookmarkEnd w:id="251"/>
      <w:bookmarkEnd w:id="252"/>
      <w:bookmarkEnd w:id="253"/>
    </w:p>
    <w:p w14:paraId="00C9998E">
      <w:pPr>
        <w:spacing w:line="360" w:lineRule="auto"/>
        <w:ind w:firstLine="480"/>
        <w:rPr>
          <w:rFonts w:ascii="宋体" w:hAnsi="宋体"/>
          <w:color w:val="000000"/>
          <w:sz w:val="24"/>
          <w:highlight w:val="none"/>
        </w:rPr>
      </w:pPr>
      <w:r>
        <w:rPr>
          <w:rFonts w:hint="eastAsia" w:ascii="宋体" w:hAnsi="宋体"/>
          <w:color w:val="000000"/>
          <w:sz w:val="24"/>
          <w:highlight w:val="none"/>
        </w:rPr>
        <w:t>34.1供应商之间不得相互串通磋商报价，不得妨碍其他供应商的公平竞争，不得损害采购人和其他供应商的合法权益。</w:t>
      </w:r>
    </w:p>
    <w:p w14:paraId="14CF74CD">
      <w:pPr>
        <w:spacing w:line="360" w:lineRule="auto"/>
        <w:ind w:firstLine="480"/>
        <w:rPr>
          <w:rFonts w:ascii="宋体" w:hAnsi="宋体"/>
          <w:color w:val="000000"/>
          <w:sz w:val="24"/>
          <w:highlight w:val="none"/>
        </w:rPr>
      </w:pPr>
      <w:r>
        <w:rPr>
          <w:rFonts w:hint="eastAsia" w:ascii="宋体" w:hAnsi="宋体"/>
          <w:color w:val="000000"/>
          <w:sz w:val="24"/>
          <w:highlight w:val="none"/>
        </w:rPr>
        <w:t>34.2供应商不得以向磋商组织方工作人员、磋商小组成员行贿或者采取其他不正当手段谋取成交。经查实供应商有此行为的，政府采购管理部门将供应商列入不良行为记录名单，按照政府采购有关规定处理。</w:t>
      </w:r>
    </w:p>
    <w:p w14:paraId="1B0470E5">
      <w:pPr>
        <w:spacing w:line="360" w:lineRule="auto"/>
        <w:ind w:firstLine="480"/>
        <w:rPr>
          <w:rFonts w:ascii="宋体" w:hAnsi="宋体"/>
          <w:color w:val="000000"/>
          <w:sz w:val="24"/>
          <w:highlight w:val="none"/>
        </w:rPr>
      </w:pPr>
      <w:r>
        <w:rPr>
          <w:rFonts w:hint="eastAsia" w:ascii="宋体" w:hAnsi="宋体"/>
          <w:color w:val="000000"/>
          <w:sz w:val="24"/>
          <w:highlight w:val="none"/>
        </w:rPr>
        <w:t>34.3供应商不得虚假承诺，否则，按照提供虚假材料谋取中标/成交处理。</w:t>
      </w:r>
    </w:p>
    <w:p w14:paraId="1E02DE0B">
      <w:pPr>
        <w:spacing w:line="360" w:lineRule="auto"/>
        <w:ind w:left="2" w:firstLine="480"/>
        <w:rPr>
          <w:rFonts w:ascii="宋体" w:hAnsi="宋体"/>
          <w:color w:val="000000"/>
          <w:sz w:val="24"/>
          <w:highlight w:val="none"/>
        </w:rPr>
      </w:pPr>
      <w:r>
        <w:rPr>
          <w:rFonts w:hint="eastAsia" w:ascii="宋体" w:hAnsi="宋体"/>
          <w:color w:val="000000"/>
          <w:sz w:val="24"/>
          <w:highlight w:val="none"/>
        </w:rPr>
        <w:t>34</w:t>
      </w:r>
      <w:r>
        <w:rPr>
          <w:rFonts w:ascii="宋体" w:hAnsi="宋体"/>
          <w:color w:val="000000"/>
          <w:sz w:val="24"/>
          <w:highlight w:val="none"/>
        </w:rPr>
        <w:t>.4供应商应自觉遵守</w:t>
      </w:r>
      <w:r>
        <w:rPr>
          <w:rFonts w:hint="eastAsia" w:ascii="宋体" w:hAnsi="宋体"/>
          <w:color w:val="000000"/>
          <w:sz w:val="24"/>
          <w:highlight w:val="none"/>
        </w:rPr>
        <w:t>磋商</w:t>
      </w:r>
      <w:r>
        <w:rPr>
          <w:rFonts w:ascii="宋体" w:hAnsi="宋体"/>
          <w:color w:val="000000"/>
          <w:sz w:val="24"/>
          <w:highlight w:val="none"/>
        </w:rPr>
        <w:t>纪律，扰乱</w:t>
      </w:r>
      <w:r>
        <w:rPr>
          <w:rFonts w:hint="eastAsia" w:ascii="宋体" w:hAnsi="宋体"/>
          <w:color w:val="000000"/>
          <w:sz w:val="24"/>
          <w:highlight w:val="none"/>
        </w:rPr>
        <w:t>磋商</w:t>
      </w:r>
      <w:r>
        <w:rPr>
          <w:rFonts w:ascii="宋体" w:hAnsi="宋体"/>
          <w:color w:val="000000"/>
          <w:sz w:val="24"/>
          <w:highlight w:val="none"/>
        </w:rPr>
        <w:t>现场秩序的，属于失信行为，根据《江苏省政府采购供应商监督管理暂行办法》，失信行为将被记入供应商诚信档案。</w:t>
      </w:r>
    </w:p>
    <w:p w14:paraId="668469F7">
      <w:pPr>
        <w:spacing w:line="360" w:lineRule="auto"/>
        <w:ind w:left="2" w:firstLine="480"/>
        <w:rPr>
          <w:rFonts w:ascii="宋体" w:hAnsi="宋体"/>
          <w:color w:val="000000"/>
          <w:sz w:val="24"/>
          <w:highlight w:val="none"/>
        </w:rPr>
      </w:pPr>
      <w:r>
        <w:rPr>
          <w:rFonts w:hint="eastAsia" w:ascii="宋体" w:hAnsi="宋体"/>
          <w:color w:val="000000"/>
          <w:sz w:val="24"/>
          <w:highlight w:val="none"/>
        </w:rPr>
        <w:t>34</w:t>
      </w:r>
      <w:r>
        <w:rPr>
          <w:rFonts w:ascii="宋体" w:hAnsi="宋体"/>
          <w:color w:val="000000"/>
          <w:sz w:val="24"/>
          <w:highlight w:val="none"/>
        </w:rPr>
        <w:t>.5</w:t>
      </w:r>
      <w:r>
        <w:rPr>
          <w:rFonts w:hint="eastAsia" w:ascii="宋体" w:hAnsi="宋体"/>
          <w:color w:val="000000"/>
          <w:sz w:val="24"/>
          <w:highlight w:val="none"/>
        </w:rPr>
        <w:t>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12855E12">
      <w:pPr>
        <w:pStyle w:val="189"/>
        <w:keepNext w:val="0"/>
        <w:keepLines w:val="0"/>
        <w:tabs>
          <w:tab w:val="left" w:pos="5191"/>
        </w:tabs>
        <w:spacing w:before="200" w:after="200" w:line="360" w:lineRule="auto"/>
        <w:ind w:firstLine="446"/>
        <w:rPr>
          <w:rFonts w:ascii="宋体" w:hAnsi="宋体"/>
          <w:color w:val="000000"/>
          <w:sz w:val="30"/>
          <w:highlight w:val="none"/>
        </w:rPr>
      </w:pPr>
      <w:bookmarkStart w:id="254" w:name="_Toc10560"/>
      <w:bookmarkStart w:id="255" w:name="_Toc73365509"/>
      <w:bookmarkStart w:id="256" w:name="_Toc73364896"/>
      <w:r>
        <w:rPr>
          <w:rFonts w:hint="eastAsia" w:ascii="宋体" w:hAnsi="宋体"/>
          <w:color w:val="000000"/>
          <w:sz w:val="30"/>
          <w:highlight w:val="none"/>
        </w:rPr>
        <w:t>35．解释权</w:t>
      </w:r>
      <w:bookmarkEnd w:id="254"/>
      <w:bookmarkEnd w:id="255"/>
      <w:bookmarkEnd w:id="256"/>
    </w:p>
    <w:p w14:paraId="2DBA97D8">
      <w:pPr>
        <w:spacing w:line="360" w:lineRule="auto"/>
        <w:ind w:firstLine="480"/>
        <w:rPr>
          <w:rFonts w:ascii="宋体" w:hAnsi="宋体"/>
          <w:color w:val="000000"/>
          <w:sz w:val="24"/>
          <w:highlight w:val="none"/>
        </w:rPr>
      </w:pPr>
      <w:r>
        <w:rPr>
          <w:rFonts w:hint="eastAsia" w:ascii="宋体" w:hAnsi="宋体"/>
          <w:color w:val="000000"/>
          <w:sz w:val="24"/>
          <w:highlight w:val="none"/>
        </w:rPr>
        <w:t>35.1除相关法律、法规规定外，本磋商文件的解释权归江苏正德建设管理有限公司所有。</w:t>
      </w:r>
    </w:p>
    <w:p w14:paraId="3FCCE5F9">
      <w:pPr>
        <w:pStyle w:val="189"/>
        <w:keepNext w:val="0"/>
        <w:keepLines w:val="0"/>
        <w:tabs>
          <w:tab w:val="left" w:pos="5191"/>
        </w:tabs>
        <w:spacing w:before="200" w:after="200" w:line="360" w:lineRule="auto"/>
        <w:ind w:firstLine="446"/>
        <w:rPr>
          <w:rFonts w:ascii="宋体" w:hAnsi="宋体"/>
          <w:color w:val="000000"/>
          <w:sz w:val="30"/>
          <w:highlight w:val="none"/>
        </w:rPr>
      </w:pPr>
      <w:bookmarkStart w:id="257" w:name="_Toc73364897"/>
      <w:bookmarkStart w:id="258" w:name="_Toc73365510"/>
      <w:bookmarkStart w:id="259" w:name="_Toc2425"/>
      <w:r>
        <w:rPr>
          <w:rFonts w:hint="eastAsia" w:ascii="宋体" w:hAnsi="宋体"/>
          <w:color w:val="000000"/>
          <w:sz w:val="30"/>
          <w:highlight w:val="none"/>
        </w:rPr>
        <w:t>36．适用法律及约束力</w:t>
      </w:r>
      <w:bookmarkEnd w:id="257"/>
      <w:bookmarkEnd w:id="258"/>
      <w:bookmarkEnd w:id="259"/>
    </w:p>
    <w:p w14:paraId="672C3D10">
      <w:pPr>
        <w:spacing w:line="360" w:lineRule="auto"/>
        <w:ind w:firstLine="480"/>
        <w:rPr>
          <w:rFonts w:ascii="宋体" w:hAnsi="宋体"/>
          <w:color w:val="000000"/>
          <w:sz w:val="24"/>
          <w:highlight w:val="none"/>
        </w:rPr>
      </w:pPr>
      <w:r>
        <w:rPr>
          <w:rFonts w:hint="eastAsia" w:ascii="宋体" w:hAnsi="宋体"/>
          <w:color w:val="000000"/>
          <w:sz w:val="24"/>
          <w:highlight w:val="none"/>
        </w:rPr>
        <w:t>36.1</w:t>
      </w:r>
      <w:r>
        <w:rPr>
          <w:rFonts w:hint="eastAsia" w:ascii="宋体" w:hAnsi="宋体"/>
          <w:b/>
          <w:color w:val="000000"/>
          <w:sz w:val="24"/>
          <w:highlight w:val="none"/>
        </w:rPr>
        <w:t>供应商一旦获取了本磋商文件并参加磋商，即被认为接受了本磋商文件的规定和约束。</w:t>
      </w:r>
    </w:p>
    <w:p w14:paraId="7521E721">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36.2本次采购及由本次采购产生的合同受中华人民共和国法律制约和保护。</w:t>
      </w:r>
    </w:p>
    <w:p w14:paraId="6FDF9F36">
      <w:pPr>
        <w:rPr>
          <w:rFonts w:hint="eastAsia"/>
          <w:highlight w:val="none"/>
        </w:rPr>
      </w:pPr>
      <w:bookmarkStart w:id="260" w:name="EB419d05b8a1254ef8af4578a7646e1195"/>
      <w:r>
        <w:rPr>
          <w:rFonts w:hint="eastAsia"/>
          <w:color w:val="000080"/>
          <w:sz w:val="20"/>
          <w:highlight w:val="none"/>
        </w:rPr>
        <w:t xml:space="preserve"> </w:t>
      </w:r>
      <w:bookmarkEnd w:id="260"/>
    </w:p>
    <w:p w14:paraId="2412E72A">
      <w:pPr>
        <w:pStyle w:val="187"/>
        <w:jc w:val="center"/>
        <w:rPr>
          <w:rFonts w:ascii="宋体" w:hAnsi="宋体"/>
          <w:color w:val="000000"/>
          <w:sz w:val="36"/>
          <w:highlight w:val="none"/>
        </w:rPr>
      </w:pPr>
      <w:bookmarkStart w:id="261" w:name="_Toc32502"/>
      <w:bookmarkStart w:id="262" w:name="_Toc73365511"/>
      <w:bookmarkStart w:id="263" w:name="_Toc73364898"/>
      <w:r>
        <w:rPr>
          <w:rFonts w:hint="eastAsia" w:ascii="宋体" w:hAnsi="宋体"/>
          <w:color w:val="000000"/>
          <w:sz w:val="36"/>
          <w:highlight w:val="none"/>
        </w:rPr>
        <w:t>第三部分  合同</w:t>
      </w:r>
      <w:bookmarkEnd w:id="261"/>
      <w:bookmarkEnd w:id="262"/>
      <w:bookmarkEnd w:id="263"/>
    </w:p>
    <w:p w14:paraId="36F3734F">
      <w:pPr>
        <w:rPr>
          <w:highlight w:val="none"/>
        </w:rPr>
      </w:pPr>
      <w:bookmarkStart w:id="264" w:name="EB5d738f80eafe4dad973e91c4d059027e"/>
    </w:p>
    <w:p w14:paraId="7F9E0288">
      <w:pPr>
        <w:pStyle w:val="258"/>
        <w:jc w:val="center"/>
        <w:rPr>
          <w:rFonts w:eastAsia="黑体"/>
          <w:color w:val="000000"/>
          <w:sz w:val="52"/>
          <w:szCs w:val="21"/>
          <w:highlight w:val="none"/>
        </w:rPr>
      </w:pPr>
      <w:r>
        <w:rPr>
          <w:rFonts w:hint="eastAsia" w:eastAsia="黑体"/>
          <w:color w:val="000000"/>
          <w:sz w:val="52"/>
          <w:szCs w:val="21"/>
          <w:highlight w:val="none"/>
        </w:rPr>
        <w:t>丹阳市政府采购合同</w:t>
      </w:r>
    </w:p>
    <w:p w14:paraId="50946B5C">
      <w:pPr>
        <w:pStyle w:val="258"/>
        <w:spacing w:line="360" w:lineRule="auto"/>
        <w:jc w:val="center"/>
        <w:rPr>
          <w:rFonts w:ascii="黑体" w:eastAsia="黑体"/>
          <w:b/>
          <w:color w:val="000000"/>
          <w:sz w:val="36"/>
          <w:szCs w:val="21"/>
          <w:highlight w:val="none"/>
        </w:rPr>
      </w:pPr>
    </w:p>
    <w:p w14:paraId="1B989617">
      <w:pPr>
        <w:pStyle w:val="258"/>
        <w:widowControl/>
        <w:spacing w:line="360" w:lineRule="auto"/>
        <w:jc w:val="left"/>
        <w:rPr>
          <w:rFonts w:ascii="黑体" w:eastAsia="黑体"/>
          <w:b/>
          <w:color w:val="000000"/>
          <w:sz w:val="36"/>
          <w:szCs w:val="21"/>
          <w:highlight w:val="none"/>
        </w:rPr>
      </w:pPr>
    </w:p>
    <w:p w14:paraId="6E904A9D">
      <w:pPr>
        <w:pStyle w:val="258"/>
        <w:widowControl/>
        <w:spacing w:line="360" w:lineRule="auto"/>
        <w:jc w:val="left"/>
        <w:rPr>
          <w:rFonts w:ascii="黑体" w:eastAsia="黑体"/>
          <w:b/>
          <w:color w:val="000000"/>
          <w:sz w:val="36"/>
          <w:szCs w:val="21"/>
          <w:highlight w:val="none"/>
        </w:rPr>
      </w:pPr>
    </w:p>
    <w:p w14:paraId="3D80907C">
      <w:pPr>
        <w:pStyle w:val="258"/>
        <w:widowControl/>
        <w:spacing w:line="360" w:lineRule="auto"/>
        <w:ind w:firstLine="361"/>
        <w:jc w:val="left"/>
        <w:rPr>
          <w:rFonts w:ascii="黑体" w:eastAsia="黑体"/>
          <w:b/>
          <w:color w:val="000000"/>
          <w:sz w:val="36"/>
          <w:szCs w:val="21"/>
          <w:highlight w:val="none"/>
        </w:rPr>
      </w:pPr>
      <w:r>
        <w:rPr>
          <w:rFonts w:hint="eastAsia" w:ascii="黑体" w:eastAsia="黑体"/>
          <w:b/>
          <w:color w:val="000000"/>
          <w:sz w:val="36"/>
          <w:szCs w:val="21"/>
          <w:highlight w:val="none"/>
        </w:rPr>
        <w:t>项目编号：</w:t>
      </w:r>
    </w:p>
    <w:p w14:paraId="4BABE12A">
      <w:pPr>
        <w:pStyle w:val="258"/>
        <w:widowControl/>
        <w:spacing w:line="360" w:lineRule="auto"/>
        <w:jc w:val="left"/>
        <w:rPr>
          <w:rFonts w:ascii="黑体" w:eastAsia="黑体"/>
          <w:b/>
          <w:color w:val="000000"/>
          <w:sz w:val="36"/>
          <w:szCs w:val="21"/>
          <w:highlight w:val="none"/>
        </w:rPr>
      </w:pPr>
    </w:p>
    <w:p w14:paraId="46B2F0F5">
      <w:pPr>
        <w:pStyle w:val="258"/>
        <w:widowControl/>
        <w:spacing w:line="360" w:lineRule="auto"/>
        <w:jc w:val="left"/>
        <w:rPr>
          <w:rFonts w:ascii="黑体" w:eastAsia="黑体"/>
          <w:b/>
          <w:color w:val="000000"/>
          <w:sz w:val="36"/>
          <w:szCs w:val="21"/>
          <w:highlight w:val="none"/>
        </w:rPr>
      </w:pPr>
    </w:p>
    <w:p w14:paraId="16791472">
      <w:pPr>
        <w:pStyle w:val="258"/>
        <w:widowControl/>
        <w:spacing w:line="360" w:lineRule="auto"/>
        <w:ind w:firstLine="361"/>
        <w:jc w:val="left"/>
        <w:rPr>
          <w:rFonts w:ascii="黑体" w:eastAsia="黑体"/>
          <w:b/>
          <w:color w:val="000000"/>
          <w:sz w:val="36"/>
          <w:szCs w:val="21"/>
          <w:highlight w:val="none"/>
        </w:rPr>
      </w:pPr>
      <w:r>
        <w:rPr>
          <w:rFonts w:hint="eastAsia" w:ascii="黑体" w:eastAsia="黑体"/>
          <w:b/>
          <w:color w:val="000000"/>
          <w:sz w:val="36"/>
          <w:szCs w:val="21"/>
          <w:highlight w:val="none"/>
        </w:rPr>
        <w:t>项目名称：</w:t>
      </w:r>
    </w:p>
    <w:p w14:paraId="41064432">
      <w:pPr>
        <w:pStyle w:val="258"/>
        <w:widowControl/>
        <w:spacing w:line="360" w:lineRule="auto"/>
        <w:jc w:val="left"/>
        <w:rPr>
          <w:rFonts w:ascii="黑体" w:eastAsia="黑体"/>
          <w:b/>
          <w:color w:val="000000"/>
          <w:sz w:val="36"/>
          <w:szCs w:val="21"/>
          <w:highlight w:val="none"/>
        </w:rPr>
      </w:pPr>
    </w:p>
    <w:p w14:paraId="50AE7FCE">
      <w:pPr>
        <w:pStyle w:val="258"/>
        <w:widowControl/>
        <w:spacing w:line="360" w:lineRule="auto"/>
        <w:jc w:val="left"/>
        <w:rPr>
          <w:rFonts w:ascii="黑体" w:eastAsia="黑体"/>
          <w:b/>
          <w:color w:val="000000"/>
          <w:sz w:val="36"/>
          <w:szCs w:val="21"/>
          <w:highlight w:val="none"/>
        </w:rPr>
      </w:pPr>
    </w:p>
    <w:p w14:paraId="5B81D918">
      <w:pPr>
        <w:pStyle w:val="258"/>
        <w:widowControl/>
        <w:spacing w:line="360" w:lineRule="auto"/>
        <w:ind w:firstLine="361"/>
        <w:jc w:val="left"/>
        <w:rPr>
          <w:rFonts w:ascii="黑体" w:eastAsia="黑体"/>
          <w:b/>
          <w:color w:val="000000"/>
          <w:sz w:val="36"/>
          <w:szCs w:val="21"/>
          <w:highlight w:val="none"/>
        </w:rPr>
      </w:pPr>
      <w:r>
        <w:rPr>
          <w:rFonts w:hint="eastAsia" w:ascii="黑体" w:eastAsia="黑体"/>
          <w:b/>
          <w:color w:val="000000"/>
          <w:sz w:val="36"/>
          <w:szCs w:val="21"/>
          <w:highlight w:val="none"/>
        </w:rPr>
        <w:t>采购单位：</w:t>
      </w:r>
    </w:p>
    <w:p w14:paraId="3343BFED">
      <w:pPr>
        <w:pStyle w:val="258"/>
        <w:spacing w:line="360" w:lineRule="auto"/>
        <w:jc w:val="left"/>
        <w:rPr>
          <w:rFonts w:ascii="黑体" w:eastAsia="黑体"/>
          <w:b/>
          <w:color w:val="000000"/>
          <w:sz w:val="36"/>
          <w:szCs w:val="21"/>
          <w:highlight w:val="none"/>
        </w:rPr>
      </w:pPr>
    </w:p>
    <w:p w14:paraId="67EA55ED">
      <w:pPr>
        <w:pStyle w:val="258"/>
        <w:widowControl/>
        <w:jc w:val="left"/>
        <w:rPr>
          <w:rFonts w:ascii="宋体" w:hAnsi="宋体" w:eastAsia="宋体"/>
          <w:sz w:val="32"/>
          <w:szCs w:val="32"/>
          <w:highlight w:val="none"/>
        </w:rPr>
      </w:pPr>
    </w:p>
    <w:p w14:paraId="2FC3941E">
      <w:pPr>
        <w:pStyle w:val="258"/>
        <w:widowControl/>
        <w:spacing w:line="400" w:lineRule="exact"/>
        <w:ind w:firstLine="361"/>
        <w:jc w:val="left"/>
        <w:rPr>
          <w:rFonts w:ascii="宋体" w:hAnsi="宋体" w:eastAsia="宋体"/>
          <w:sz w:val="24"/>
          <w:szCs w:val="24"/>
          <w:highlight w:val="none"/>
        </w:rPr>
      </w:pPr>
      <w:r>
        <w:rPr>
          <w:rFonts w:hint="eastAsia" w:ascii="黑体" w:eastAsia="黑体"/>
          <w:b/>
          <w:color w:val="000000"/>
          <w:sz w:val="36"/>
          <w:szCs w:val="21"/>
          <w:highlight w:val="none"/>
        </w:rPr>
        <w:t>中标供应商:</w:t>
      </w:r>
    </w:p>
    <w:p w14:paraId="5AB34A97">
      <w:pPr>
        <w:pStyle w:val="259"/>
        <w:pageBreakBefore/>
        <w:widowControl/>
        <w:tabs>
          <w:tab w:val="left" w:pos="425"/>
        </w:tabs>
        <w:spacing w:line="480" w:lineRule="auto"/>
        <w:jc w:val="center"/>
        <w:outlineLvl w:val="0"/>
        <w:rPr>
          <w:rFonts w:hint="eastAsia" w:ascii="宋体" w:hAnsi="宋体"/>
          <w:color w:val="000000"/>
          <w:sz w:val="24"/>
          <w:szCs w:val="24"/>
          <w:highlight w:val="none"/>
          <w:lang w:val="en-US" w:eastAsia="zh-CN"/>
        </w:rPr>
      </w:pPr>
      <w:bookmarkStart w:id="265" w:name="_Toc76632917"/>
      <w:bookmarkStart w:id="266" w:name="_Toc5683"/>
      <w:r>
        <w:rPr>
          <w:rFonts w:hint="eastAsia" w:ascii="宋体" w:hAnsi="宋体"/>
          <w:color w:val="000000"/>
          <w:sz w:val="44"/>
          <w:szCs w:val="32"/>
          <w:highlight w:val="none"/>
        </w:rPr>
        <w:t>合 同</w:t>
      </w:r>
      <w:bookmarkEnd w:id="265"/>
      <w:bookmarkEnd w:id="266"/>
      <w:r>
        <w:rPr>
          <w:rFonts w:hint="eastAsia"/>
          <w:sz w:val="21"/>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p>
    <w:p w14:paraId="7710C993">
      <w:pPr>
        <w:pStyle w:val="259"/>
        <w:spacing w:line="460" w:lineRule="exact"/>
        <w:ind w:firstLine="470"/>
        <w:rPr>
          <w:rFonts w:ascii="宋体" w:hAnsi="宋体"/>
          <w:color w:val="000000"/>
          <w:sz w:val="24"/>
          <w:szCs w:val="24"/>
          <w:highlight w:val="none"/>
        </w:rPr>
      </w:pPr>
      <w:r>
        <w:rPr>
          <w:rFonts w:hint="eastAsia" w:ascii="宋体" w:hAnsi="宋体"/>
          <w:color w:val="000000"/>
          <w:sz w:val="24"/>
          <w:szCs w:val="24"/>
          <w:highlight w:val="none"/>
        </w:rPr>
        <w:t>按照《中华人民共和国政府采购法》、《中华人民共和国民法典》等法律法规的规定，甲、乙双方根据</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的招标结果签署本合同。</w:t>
      </w:r>
    </w:p>
    <w:p w14:paraId="1561DA59">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rPr>
        <w:t>1.定义</w:t>
      </w:r>
    </w:p>
    <w:p w14:paraId="04A1A260">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在本合同中，下列术语应解释为：</w:t>
      </w:r>
    </w:p>
    <w:p w14:paraId="4C167C44">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1.1“甲方”系指购买服务的采购人，即</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p>
    <w:p w14:paraId="49C84F52">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1.2“乙方”系指提供服务的投标人，即</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w:t>
      </w:r>
    </w:p>
    <w:p w14:paraId="0BC8B4F5">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1.3“服务”系指合同规定乙方必须承担</w:t>
      </w:r>
      <w:r>
        <w:rPr>
          <w:rFonts w:hint="eastAsia" w:ascii="宋体" w:hAnsi="宋体"/>
          <w:color w:val="000000"/>
          <w:sz w:val="24"/>
          <w:szCs w:val="24"/>
          <w:highlight w:val="none"/>
          <w:lang w:eastAsia="zh-CN"/>
        </w:rPr>
        <w:t>丹阳市人民医院高压配电房及10KV高压专线（双路）运维服务项目</w:t>
      </w:r>
      <w:r>
        <w:rPr>
          <w:rFonts w:hint="eastAsia" w:ascii="宋体" w:hAnsi="宋体"/>
          <w:color w:val="000000"/>
          <w:sz w:val="24"/>
          <w:szCs w:val="24"/>
          <w:highlight w:val="none"/>
        </w:rPr>
        <w:t>。</w:t>
      </w:r>
    </w:p>
    <w:p w14:paraId="001F4990">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4</w:t>
      </w:r>
      <w:r>
        <w:rPr>
          <w:rFonts w:hint="eastAsia" w:ascii="宋体" w:hAnsi="宋体"/>
          <w:color w:val="000000"/>
          <w:sz w:val="24"/>
          <w:szCs w:val="24"/>
          <w:highlight w:val="none"/>
        </w:rPr>
        <w:t>“合同”系指甲方与乙方签署的、合同格式中载明的甲方与乙方所达成的协议，包括</w:t>
      </w:r>
      <w:r>
        <w:rPr>
          <w:rFonts w:hint="eastAsia" w:ascii="宋体" w:hAnsi="宋体"/>
          <w:color w:val="000000"/>
          <w:sz w:val="24"/>
          <w:szCs w:val="24"/>
          <w:highlight w:val="none"/>
          <w:lang w:val="en-US" w:eastAsia="zh-CN"/>
        </w:rPr>
        <w:t>磋商</w:t>
      </w:r>
      <w:r>
        <w:rPr>
          <w:rFonts w:hint="eastAsia" w:ascii="宋体" w:hAnsi="宋体"/>
          <w:color w:val="000000"/>
          <w:sz w:val="24"/>
          <w:szCs w:val="24"/>
          <w:highlight w:val="none"/>
        </w:rPr>
        <w:t>文件、投标文件、附件、附录和构成合同的所有文件。</w:t>
      </w:r>
    </w:p>
    <w:p w14:paraId="5099D9ED">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ascii="宋体" w:hAnsi="宋体"/>
          <w:color w:val="000000"/>
          <w:sz w:val="24"/>
          <w:szCs w:val="24"/>
          <w:highlight w:val="none"/>
        </w:rPr>
        <w:t>5</w:t>
      </w:r>
      <w:r>
        <w:rPr>
          <w:rFonts w:hint="eastAsia" w:ascii="宋体" w:hAnsi="宋体"/>
          <w:color w:val="000000"/>
          <w:sz w:val="24"/>
          <w:szCs w:val="24"/>
          <w:highlight w:val="none"/>
        </w:rPr>
        <w:t>“合同金额”系指根据合同规定，乙方在正确地完全履行合同义务后甲方应支付给乙方的价格。</w:t>
      </w:r>
    </w:p>
    <w:p w14:paraId="5020721E">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rPr>
        <w:t>2.合同文件</w:t>
      </w:r>
    </w:p>
    <w:p w14:paraId="62E7F43C">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2.1下列关于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的</w:t>
      </w:r>
      <w:r>
        <w:rPr>
          <w:rFonts w:hint="eastAsia" w:ascii="宋体" w:hAnsi="宋体"/>
          <w:color w:val="000000"/>
          <w:sz w:val="24"/>
          <w:szCs w:val="24"/>
          <w:highlight w:val="none"/>
          <w:lang w:val="en-US" w:eastAsia="zh-CN"/>
        </w:rPr>
        <w:t>磋商</w:t>
      </w:r>
      <w:r>
        <w:rPr>
          <w:rFonts w:hint="eastAsia" w:ascii="宋体" w:hAnsi="宋体"/>
          <w:color w:val="000000"/>
          <w:sz w:val="24"/>
          <w:szCs w:val="24"/>
          <w:highlight w:val="none"/>
        </w:rPr>
        <w:t>文件、乙方提交的投标文件以及与本采购活动相关的文件是构成本合同不可分割的部分，与本合同具有同等法律效力，这些文件包括但不限于：</w:t>
      </w:r>
    </w:p>
    <w:p w14:paraId="297E54ED">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（1）磋商承诺函；</w:t>
      </w:r>
    </w:p>
    <w:p w14:paraId="20213CF3">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（2）乙方提交的投标文件和报价表；</w:t>
      </w:r>
    </w:p>
    <w:p w14:paraId="356E6BB0">
      <w:pPr>
        <w:pStyle w:val="259"/>
        <w:spacing w:line="4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（3）服务方案及服务承诺；</w:t>
      </w:r>
    </w:p>
    <w:p w14:paraId="3B5AA022">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4</w:t>
      </w:r>
      <w:r>
        <w:rPr>
          <w:rFonts w:hint="eastAsia" w:ascii="宋体" w:hAnsi="宋体"/>
          <w:color w:val="000000"/>
          <w:sz w:val="24"/>
          <w:szCs w:val="24"/>
          <w:highlight w:val="none"/>
        </w:rPr>
        <w:t>）中标通知书；</w:t>
      </w:r>
    </w:p>
    <w:p w14:paraId="54CDCA80">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w:t>
      </w:r>
      <w:r>
        <w:rPr>
          <w:rFonts w:ascii="宋体" w:hAnsi="宋体"/>
          <w:color w:val="000000"/>
          <w:sz w:val="24"/>
          <w:szCs w:val="24"/>
          <w:highlight w:val="none"/>
        </w:rPr>
        <w:t>5</w:t>
      </w:r>
      <w:r>
        <w:rPr>
          <w:rFonts w:hint="eastAsia" w:ascii="宋体" w:hAnsi="宋体"/>
          <w:color w:val="000000"/>
          <w:sz w:val="24"/>
          <w:szCs w:val="24"/>
          <w:highlight w:val="none"/>
        </w:rPr>
        <w:t>）甲方、乙方商定的其他必要文件。</w:t>
      </w:r>
    </w:p>
    <w:p w14:paraId="281AE98B">
      <w:pPr>
        <w:pStyle w:val="259"/>
        <w:spacing w:line="460" w:lineRule="exact"/>
        <w:ind w:firstLine="482"/>
        <w:rPr>
          <w:rFonts w:ascii="宋体" w:hAnsi="宋体"/>
          <w:b/>
          <w:sz w:val="24"/>
          <w:szCs w:val="24"/>
          <w:highlight w:val="none"/>
        </w:rPr>
      </w:pPr>
      <w:r>
        <w:rPr>
          <w:rFonts w:hint="eastAsia" w:ascii="宋体" w:hAnsi="宋体"/>
          <w:b/>
          <w:sz w:val="24"/>
          <w:szCs w:val="24"/>
          <w:highlight w:val="none"/>
        </w:rPr>
        <w:t>3.合同标的和内容</w:t>
      </w:r>
    </w:p>
    <w:p w14:paraId="2CBD6E6D">
      <w:pPr>
        <w:pStyle w:val="259"/>
        <w:spacing w:line="460" w:lineRule="exact"/>
        <w:ind w:firstLine="480"/>
        <w:rPr>
          <w:rFonts w:ascii="宋体" w:hAnsi="宋体"/>
          <w:sz w:val="24"/>
          <w:szCs w:val="24"/>
          <w:highlight w:val="none"/>
        </w:rPr>
      </w:pPr>
      <w:r>
        <w:rPr>
          <w:rFonts w:hint="eastAsia" w:ascii="宋体" w:hAnsi="宋体"/>
          <w:sz w:val="24"/>
          <w:szCs w:val="24"/>
          <w:highlight w:val="none"/>
        </w:rPr>
        <w:t>3.1 本合同的标的详见“投标报价明细表”。</w:t>
      </w:r>
    </w:p>
    <w:p w14:paraId="36961E0E">
      <w:pPr>
        <w:pStyle w:val="259"/>
        <w:spacing w:line="460" w:lineRule="exact"/>
        <w:ind w:firstLine="482"/>
        <w:rPr>
          <w:rFonts w:ascii="宋体" w:hAnsi="宋体"/>
          <w:b/>
          <w:color w:val="000000"/>
          <w:sz w:val="24"/>
          <w:szCs w:val="24"/>
          <w:highlight w:val="none"/>
        </w:rPr>
      </w:pPr>
      <w:r>
        <w:rPr>
          <w:rFonts w:hint="eastAsia" w:ascii="宋体" w:hAnsi="宋体"/>
          <w:b/>
          <w:sz w:val="24"/>
          <w:szCs w:val="24"/>
          <w:highlight w:val="none"/>
        </w:rPr>
        <w:t>4.交付方式、</w:t>
      </w:r>
      <w:r>
        <w:rPr>
          <w:rFonts w:hint="eastAsia" w:ascii="宋体" w:hAnsi="宋体"/>
          <w:b/>
          <w:color w:val="000000"/>
          <w:sz w:val="24"/>
          <w:szCs w:val="24"/>
          <w:highlight w:val="none"/>
        </w:rPr>
        <w:t>时间和地点</w:t>
      </w:r>
    </w:p>
    <w:p w14:paraId="38534944">
      <w:pPr>
        <w:pStyle w:val="259"/>
        <w:spacing w:line="4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4.1交付方式：</w:t>
      </w:r>
    </w:p>
    <w:p w14:paraId="61E2B815">
      <w:pPr>
        <w:pStyle w:val="259"/>
        <w:spacing w:line="4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4.2交付时间：</w:t>
      </w:r>
    </w:p>
    <w:p w14:paraId="1714491F">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4.3时间地点：</w:t>
      </w:r>
    </w:p>
    <w:p w14:paraId="6FC40BE9">
      <w:pPr>
        <w:pStyle w:val="259"/>
        <w:numPr>
          <w:ilvl w:val="0"/>
          <w:numId w:val="5"/>
        </w:numPr>
        <w:spacing w:line="460" w:lineRule="exact"/>
        <w:ind w:firstLine="482"/>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服务内容：</w:t>
      </w:r>
    </w:p>
    <w:p w14:paraId="6B66D6D4">
      <w:pPr>
        <w:pStyle w:val="259"/>
        <w:numPr>
          <w:ilvl w:val="0"/>
          <w:numId w:val="5"/>
        </w:numPr>
        <w:spacing w:line="460" w:lineRule="exact"/>
        <w:ind w:firstLine="482"/>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服务标准：</w:t>
      </w:r>
    </w:p>
    <w:p w14:paraId="4376D2E8">
      <w:pPr>
        <w:pStyle w:val="259"/>
        <w:numPr>
          <w:ilvl w:val="0"/>
          <w:numId w:val="5"/>
        </w:numPr>
        <w:spacing w:line="460" w:lineRule="exact"/>
        <w:ind w:firstLine="482"/>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考核标准：</w:t>
      </w:r>
    </w:p>
    <w:p w14:paraId="4A498A03">
      <w:pPr>
        <w:pStyle w:val="259"/>
        <w:spacing w:line="460" w:lineRule="exact"/>
        <w:ind w:firstLine="480"/>
        <w:rPr>
          <w:rFonts w:hint="eastAsia" w:ascii="宋体" w:hAnsi="宋体" w:cs="华文仿宋"/>
          <w:sz w:val="24"/>
          <w:szCs w:val="24"/>
          <w:highlight w:val="none"/>
          <w:lang w:val="en-US" w:eastAsia="zh-CN"/>
        </w:rPr>
      </w:pPr>
      <w:r>
        <w:rPr>
          <w:rFonts w:hint="eastAsia" w:ascii="宋体" w:hAnsi="宋体" w:cs="华文仿宋"/>
          <w:sz w:val="24"/>
          <w:szCs w:val="24"/>
          <w:highlight w:val="none"/>
          <w:lang w:val="en-US" w:eastAsia="zh-CN"/>
        </w:rPr>
        <w:t>甲方每月对高压配电房运维服务及10KV高压专线（双路）运维服务质量按照考核表进行考核（考核表详见附件1），考核分数计算如下（保留小数点一位）。</w:t>
      </w:r>
    </w:p>
    <w:p w14:paraId="2F9C2C6B">
      <w:pPr>
        <w:pStyle w:val="259"/>
        <w:spacing w:line="460" w:lineRule="exact"/>
        <w:ind w:firstLine="480"/>
        <w:rPr>
          <w:rFonts w:hint="eastAsia" w:ascii="宋体" w:hAnsi="宋体" w:cs="华文仿宋"/>
          <w:sz w:val="24"/>
          <w:szCs w:val="24"/>
          <w:highlight w:val="none"/>
          <w:lang w:val="en-US" w:eastAsia="zh-CN"/>
        </w:rPr>
      </w:pPr>
      <w:r>
        <w:rPr>
          <w:rFonts w:hint="eastAsia" w:ascii="宋体" w:hAnsi="宋体" w:cs="华文仿宋"/>
          <w:sz w:val="24"/>
          <w:szCs w:val="24"/>
          <w:highlight w:val="none"/>
          <w:lang w:val="en-US" w:eastAsia="zh-CN"/>
        </w:rPr>
        <w:t>（1）考核分在90分以上，月度服务费全额支付；</w:t>
      </w:r>
    </w:p>
    <w:p w14:paraId="2417AEE6">
      <w:pPr>
        <w:pStyle w:val="259"/>
        <w:spacing w:line="460" w:lineRule="exact"/>
        <w:ind w:firstLine="480"/>
        <w:rPr>
          <w:rFonts w:hint="eastAsia" w:ascii="宋体" w:hAnsi="宋体" w:cs="华文仿宋"/>
          <w:sz w:val="24"/>
          <w:szCs w:val="24"/>
          <w:highlight w:val="none"/>
          <w:lang w:val="en-US" w:eastAsia="zh-CN"/>
        </w:rPr>
      </w:pPr>
      <w:r>
        <w:rPr>
          <w:rFonts w:hint="eastAsia" w:ascii="宋体" w:hAnsi="宋体" w:cs="华文仿宋"/>
          <w:sz w:val="24"/>
          <w:szCs w:val="24"/>
          <w:highlight w:val="none"/>
          <w:lang w:val="en-US" w:eastAsia="zh-CN"/>
        </w:rPr>
        <w:t>（2）考核分在80-90分，扣除当月服务费的2%予以结算；</w:t>
      </w:r>
    </w:p>
    <w:p w14:paraId="150256AC">
      <w:pPr>
        <w:pStyle w:val="259"/>
        <w:spacing w:line="460" w:lineRule="exact"/>
        <w:ind w:firstLine="480"/>
        <w:rPr>
          <w:rFonts w:hint="default" w:ascii="宋体" w:hAnsi="宋体" w:cs="华文仿宋"/>
          <w:sz w:val="24"/>
          <w:szCs w:val="24"/>
          <w:highlight w:val="none"/>
          <w:lang w:val="en-US" w:eastAsia="zh-CN"/>
        </w:rPr>
      </w:pPr>
      <w:r>
        <w:rPr>
          <w:rFonts w:hint="eastAsia" w:ascii="宋体" w:hAnsi="宋体" w:cs="华文仿宋"/>
          <w:sz w:val="24"/>
          <w:szCs w:val="24"/>
          <w:highlight w:val="none"/>
          <w:lang w:val="en-US" w:eastAsia="zh-CN"/>
        </w:rPr>
        <w:t>（3）考核分在80分以下的，扣除当月服务费的4%予以结算，书面警告一次，全年出现三次警告，采购人有权单方面终止合同，中标人需承担违约金70000元（不包括考核扣款）。</w:t>
      </w:r>
    </w:p>
    <w:p w14:paraId="2FEB6A41">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lang w:val="en-US" w:eastAsia="zh-CN"/>
        </w:rPr>
        <w:t>8</w:t>
      </w:r>
      <w:r>
        <w:rPr>
          <w:rFonts w:hint="eastAsia" w:ascii="宋体" w:hAnsi="宋体"/>
          <w:b/>
          <w:color w:val="000000"/>
          <w:sz w:val="24"/>
          <w:szCs w:val="24"/>
          <w:highlight w:val="none"/>
        </w:rPr>
        <w:t>.合同金额</w:t>
      </w:r>
    </w:p>
    <w:p w14:paraId="652F56B9">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.1 合同金额（大写）为人民币：</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元整 ，</w:t>
      </w:r>
      <w:r>
        <w:rPr>
          <w:rFonts w:ascii="宋体" w:hAnsi="宋体" w:cs="宋体"/>
          <w:color w:val="000000"/>
          <w:sz w:val="24"/>
          <w:szCs w:val="24"/>
          <w:highlight w:val="none"/>
        </w:rPr>
        <w:t>¥</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元。</w:t>
      </w:r>
    </w:p>
    <w:p w14:paraId="59EF4BC8">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.2合同金额包括提供招标范围内确定的采购内容、税金及合同包含的所有风险、责任等各项应有费用。同时，除非合同条款中另有规定，合同总金额在合同履行期间不因市场变化因素而变动。</w:t>
      </w:r>
    </w:p>
    <w:p w14:paraId="76B2A2A9">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lang w:val="en-US" w:eastAsia="zh-CN"/>
        </w:rPr>
        <w:t>9</w:t>
      </w:r>
      <w:r>
        <w:rPr>
          <w:rFonts w:hint="eastAsia" w:ascii="宋体" w:hAnsi="宋体"/>
          <w:b/>
          <w:color w:val="000000"/>
          <w:sz w:val="24"/>
          <w:szCs w:val="24"/>
          <w:highlight w:val="none"/>
        </w:rPr>
        <w:t>.付款方式</w:t>
      </w:r>
    </w:p>
    <w:p w14:paraId="5F2FE3B3">
      <w:pPr>
        <w:pStyle w:val="259"/>
        <w:spacing w:line="460" w:lineRule="exact"/>
        <w:ind w:firstLine="480"/>
        <w:rPr>
          <w:rFonts w:hint="eastAsia" w:ascii="宋体" w:hAnsi="宋体" w:cs="华文仿宋"/>
          <w:sz w:val="24"/>
          <w:szCs w:val="24"/>
          <w:highlight w:val="none"/>
        </w:rPr>
      </w:pPr>
      <w:r>
        <w:rPr>
          <w:rFonts w:hint="eastAsia" w:ascii="楷体" w:hAnsi="楷体" w:eastAsia="楷体"/>
          <w:sz w:val="24"/>
        </w:rPr>
        <w:t>□</w:t>
      </w:r>
      <w:r>
        <w:rPr>
          <w:rFonts w:hint="eastAsia" w:ascii="宋体" w:hAnsi="宋体" w:cs="华文仿宋"/>
          <w:sz w:val="24"/>
          <w:szCs w:val="24"/>
          <w:highlight w:val="none"/>
        </w:rPr>
        <w:t>经双方协商乙方自愿放弃预付款。</w:t>
      </w:r>
    </w:p>
    <w:p w14:paraId="492E75A6">
      <w:pPr>
        <w:pStyle w:val="259"/>
        <w:spacing w:line="460" w:lineRule="exact"/>
        <w:ind w:firstLine="480"/>
        <w:rPr>
          <w:rFonts w:hint="eastAsia" w:ascii="宋体" w:hAnsi="宋体" w:cs="华文仿宋"/>
          <w:sz w:val="24"/>
          <w:szCs w:val="24"/>
          <w:highlight w:val="none"/>
          <w:lang w:val="en-US" w:eastAsia="zh-CN"/>
        </w:rPr>
      </w:pPr>
      <w:r>
        <w:rPr>
          <w:rFonts w:hint="eastAsia" w:ascii="宋体" w:hAnsi="宋体" w:cs="华文仿宋"/>
          <w:sz w:val="24"/>
          <w:szCs w:val="24"/>
          <w:highlight w:val="none"/>
          <w:lang w:val="en-US" w:eastAsia="zh-CN"/>
        </w:rPr>
        <w:t>1)合同总价÷36=月度服务费。</w:t>
      </w:r>
    </w:p>
    <w:p w14:paraId="3330BC5C">
      <w:pPr>
        <w:pStyle w:val="259"/>
        <w:spacing w:line="460" w:lineRule="exact"/>
        <w:ind w:firstLine="480"/>
        <w:rPr>
          <w:rFonts w:hint="eastAsia" w:ascii="宋体" w:hAnsi="宋体" w:cs="华文仿宋"/>
          <w:sz w:val="24"/>
          <w:szCs w:val="24"/>
          <w:highlight w:val="none"/>
        </w:rPr>
      </w:pPr>
      <w:r>
        <w:rPr>
          <w:rFonts w:hint="eastAsia" w:ascii="宋体" w:hAnsi="宋体" w:cs="华文仿宋"/>
          <w:sz w:val="24"/>
          <w:szCs w:val="24"/>
          <w:highlight w:val="none"/>
          <w:lang w:val="en-US" w:eastAsia="zh-CN"/>
        </w:rPr>
        <w:t>2)完成当月工作后，在次月15日前根据考核情况支付相应月度费用。</w:t>
      </w:r>
    </w:p>
    <w:p w14:paraId="0E050D16">
      <w:pPr>
        <w:pStyle w:val="259"/>
        <w:spacing w:line="460" w:lineRule="exact"/>
        <w:ind w:firstLine="480"/>
        <w:rPr>
          <w:rFonts w:hint="eastAsia" w:ascii="宋体" w:hAnsi="宋体" w:cs="华文仿宋"/>
          <w:sz w:val="24"/>
          <w:szCs w:val="24"/>
          <w:highlight w:val="none"/>
        </w:rPr>
      </w:pPr>
      <w:r>
        <w:rPr>
          <w:rFonts w:hint="eastAsia" w:ascii="楷体" w:hAnsi="楷体" w:eastAsia="楷体"/>
          <w:sz w:val="24"/>
        </w:rPr>
        <w:t>□</w:t>
      </w:r>
      <w:r>
        <w:rPr>
          <w:rFonts w:hint="eastAsia" w:ascii="宋体" w:hAnsi="宋体" w:cs="华文仿宋"/>
          <w:sz w:val="24"/>
          <w:szCs w:val="24"/>
          <w:highlight w:val="none"/>
        </w:rPr>
        <w:t>合同签订后，甲方在收到乙方提供相应金额的正规发票后10个工作日内支付合同价10%的预付款；</w:t>
      </w:r>
    </w:p>
    <w:p w14:paraId="3971EB60">
      <w:pPr>
        <w:pStyle w:val="259"/>
        <w:spacing w:line="460" w:lineRule="exact"/>
        <w:ind w:firstLine="480"/>
        <w:rPr>
          <w:rFonts w:hint="eastAsia" w:ascii="宋体" w:hAnsi="宋体" w:cs="华文仿宋"/>
          <w:sz w:val="24"/>
          <w:szCs w:val="24"/>
          <w:highlight w:val="none"/>
          <w:lang w:val="en-US" w:eastAsia="zh-CN"/>
        </w:rPr>
      </w:pPr>
      <w:r>
        <w:rPr>
          <w:rFonts w:hint="eastAsia" w:ascii="宋体" w:hAnsi="宋体" w:cs="华文仿宋"/>
          <w:sz w:val="24"/>
          <w:szCs w:val="24"/>
          <w:highlight w:val="none"/>
          <w:lang w:val="en-US" w:eastAsia="zh-CN"/>
        </w:rPr>
        <w:t>1)</w:t>
      </w:r>
      <w:r>
        <w:rPr>
          <w:rFonts w:hint="eastAsia" w:ascii="宋体" w:hAnsi="宋体" w:cs="华文仿宋"/>
          <w:sz w:val="24"/>
          <w:szCs w:val="24"/>
          <w:highlight w:val="none"/>
          <w:u w:val="none"/>
          <w:lang w:val="en-US" w:eastAsia="zh-CN"/>
        </w:rPr>
        <w:t>合同总价</w:t>
      </w:r>
      <w:r>
        <w:rPr>
          <w:rFonts w:hint="eastAsia" w:ascii="宋体" w:hAnsi="宋体" w:cs="华文仿宋"/>
          <w:sz w:val="24"/>
          <w:szCs w:val="24"/>
          <w:highlight w:val="none"/>
          <w:lang w:val="en-US" w:eastAsia="zh-CN"/>
        </w:rPr>
        <w:t>÷36=月度服务费。</w:t>
      </w:r>
    </w:p>
    <w:p w14:paraId="55646AC8">
      <w:pPr>
        <w:pStyle w:val="259"/>
        <w:spacing w:line="460" w:lineRule="exact"/>
        <w:ind w:firstLine="480"/>
        <w:rPr>
          <w:rFonts w:hint="eastAsia" w:ascii="宋体" w:hAnsi="宋体" w:cs="华文仿宋"/>
          <w:sz w:val="24"/>
          <w:szCs w:val="24"/>
          <w:highlight w:val="none"/>
          <w:lang w:val="en-US" w:eastAsia="zh-CN"/>
        </w:rPr>
      </w:pPr>
      <w:r>
        <w:rPr>
          <w:rFonts w:hint="eastAsia" w:ascii="宋体" w:hAnsi="宋体" w:cs="华文仿宋"/>
          <w:sz w:val="24"/>
          <w:szCs w:val="24"/>
          <w:highlight w:val="none"/>
          <w:lang w:val="en-US" w:eastAsia="zh-CN"/>
        </w:rPr>
        <w:t>2)完成当月工作后，在次月15日前根据考核情况支付相应月度费用。</w:t>
      </w:r>
    </w:p>
    <w:p w14:paraId="75EB763E">
      <w:pPr>
        <w:pStyle w:val="259"/>
        <w:spacing w:line="460" w:lineRule="exact"/>
        <w:ind w:firstLine="480"/>
        <w:rPr>
          <w:rFonts w:hint="eastAsia" w:ascii="宋体" w:hAnsi="宋体" w:cs="华文仿宋"/>
          <w:sz w:val="24"/>
          <w:szCs w:val="24"/>
          <w:highlight w:val="none"/>
          <w:lang w:val="en-US" w:eastAsia="zh-CN"/>
        </w:rPr>
      </w:pPr>
      <w:r>
        <w:rPr>
          <w:rFonts w:hint="eastAsia" w:ascii="宋体" w:hAnsi="宋体" w:cs="华文仿宋"/>
          <w:sz w:val="24"/>
          <w:szCs w:val="24"/>
          <w:highlight w:val="none"/>
          <w:lang w:val="en-US" w:eastAsia="zh-CN"/>
        </w:rPr>
        <w:t>3)甲方在扣除</w:t>
      </w:r>
      <w:r>
        <w:rPr>
          <w:rFonts w:hint="eastAsia" w:ascii="宋体" w:hAnsi="宋体" w:cs="华文仿宋"/>
          <w:sz w:val="24"/>
          <w:szCs w:val="24"/>
          <w:highlight w:val="none"/>
        </w:rPr>
        <w:t>合同</w:t>
      </w:r>
      <w:r>
        <w:rPr>
          <w:rFonts w:hint="eastAsia" w:ascii="宋体" w:hAnsi="宋体" w:cs="华文仿宋"/>
          <w:sz w:val="24"/>
          <w:szCs w:val="24"/>
          <w:highlight w:val="none"/>
          <w:lang w:val="en-US" w:eastAsia="zh-CN"/>
        </w:rPr>
        <w:t>价</w:t>
      </w:r>
      <w:r>
        <w:rPr>
          <w:rFonts w:hint="eastAsia" w:ascii="宋体" w:hAnsi="宋体" w:cs="华文仿宋"/>
          <w:sz w:val="24"/>
          <w:szCs w:val="24"/>
          <w:highlight w:val="none"/>
        </w:rPr>
        <w:t>10%</w:t>
      </w:r>
      <w:r>
        <w:rPr>
          <w:rFonts w:hint="eastAsia" w:ascii="宋体" w:hAnsi="宋体" w:cs="华文仿宋"/>
          <w:sz w:val="24"/>
          <w:szCs w:val="24"/>
          <w:highlight w:val="none"/>
          <w:lang w:val="en-US" w:eastAsia="zh-CN"/>
        </w:rPr>
        <w:t>的</w:t>
      </w:r>
      <w:r>
        <w:rPr>
          <w:rFonts w:hint="eastAsia" w:ascii="宋体" w:hAnsi="宋体" w:cs="华文仿宋"/>
          <w:sz w:val="24"/>
          <w:szCs w:val="24"/>
          <w:highlight w:val="none"/>
        </w:rPr>
        <w:t>预付款</w:t>
      </w:r>
      <w:r>
        <w:rPr>
          <w:rFonts w:hint="eastAsia" w:ascii="宋体" w:hAnsi="宋体" w:cs="华文仿宋"/>
          <w:sz w:val="24"/>
          <w:szCs w:val="24"/>
          <w:highlight w:val="none"/>
          <w:lang w:val="en-US" w:eastAsia="zh-CN"/>
        </w:rPr>
        <w:t>后逐月支付。</w:t>
      </w:r>
    </w:p>
    <w:p w14:paraId="2E6F663F">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lang w:val="en-US" w:eastAsia="zh-CN"/>
        </w:rPr>
        <w:t>10</w:t>
      </w:r>
      <w:r>
        <w:rPr>
          <w:rFonts w:hint="eastAsia" w:ascii="宋体" w:hAnsi="宋体"/>
          <w:b/>
          <w:color w:val="000000"/>
          <w:sz w:val="24"/>
          <w:szCs w:val="24"/>
          <w:highlight w:val="none"/>
        </w:rPr>
        <w:t>.履约保证金</w:t>
      </w:r>
    </w:p>
    <w:p w14:paraId="5F25E951">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lang w:val="en-US" w:eastAsia="zh-CN"/>
        </w:rPr>
        <w:t>乙方</w:t>
      </w:r>
      <w:r>
        <w:rPr>
          <w:rFonts w:hint="eastAsia" w:ascii="宋体" w:hAnsi="宋体"/>
          <w:color w:val="000000"/>
          <w:sz w:val="24"/>
          <w:szCs w:val="24"/>
          <w:highlight w:val="none"/>
        </w:rPr>
        <w:t>应提交合同金额</w:t>
      </w:r>
      <w:r>
        <w:rPr>
          <w:rFonts w:ascii="宋体" w:hAnsi="宋体"/>
          <w:color w:val="000000"/>
          <w:sz w:val="24"/>
          <w:szCs w:val="24"/>
          <w:highlight w:val="none"/>
        </w:rPr>
        <w:t>10%</w:t>
      </w:r>
      <w:r>
        <w:rPr>
          <w:rFonts w:hint="eastAsia" w:ascii="宋体" w:hAnsi="宋体"/>
          <w:color w:val="000000"/>
          <w:sz w:val="24"/>
          <w:szCs w:val="24"/>
          <w:highlight w:val="none"/>
        </w:rPr>
        <w:t>的履约保证金（不得超过政府采购合同金额的10%），履约保证金应以支票、汇票、本票、保函、保险保单等非现金形式缴纳或提交。</w:t>
      </w:r>
    </w:p>
    <w:p w14:paraId="49AD5170">
      <w:pPr>
        <w:pStyle w:val="259"/>
        <w:spacing w:line="4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7F75ED54">
      <w:pPr>
        <w:pStyle w:val="259"/>
        <w:spacing w:line="4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履约保证金交至甲方财务科，合同签订前向甲方代表出示履约保证金交费凭据。</w:t>
      </w:r>
    </w:p>
    <w:p w14:paraId="670601B6">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 xml:space="preserve">履约保证金退还的条件： </w:t>
      </w:r>
    </w:p>
    <w:p w14:paraId="379D632D">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项目验收合格，出具验收报告及履约保证金收据申请退付；</w:t>
      </w:r>
    </w:p>
    <w:p w14:paraId="46512BF7">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履约保证金退还时间：采购单位收到供应商退付申请后5个工作日内退还；</w:t>
      </w:r>
    </w:p>
    <w:p w14:paraId="1C120549">
      <w:pPr>
        <w:pStyle w:val="259"/>
        <w:spacing w:line="46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r>
        <w:rPr>
          <w:rFonts w:hint="eastAsia" w:ascii="宋体" w:hAnsi="宋体"/>
          <w:color w:val="000000"/>
          <w:sz w:val="24"/>
          <w:szCs w:val="24"/>
          <w:highlight w:val="none"/>
          <w:lang w:eastAsia="zh-CN"/>
        </w:rPr>
        <w:t>。</w:t>
      </w:r>
    </w:p>
    <w:p w14:paraId="4D8BFE7F">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lang w:val="en-US" w:eastAsia="zh-CN"/>
        </w:rPr>
        <w:t>11</w:t>
      </w:r>
      <w:r>
        <w:rPr>
          <w:rFonts w:hint="eastAsia" w:ascii="宋体" w:hAnsi="宋体"/>
          <w:b/>
          <w:color w:val="000000"/>
          <w:sz w:val="24"/>
          <w:szCs w:val="24"/>
          <w:highlight w:val="none"/>
        </w:rPr>
        <w:t>.项目实施及服务要求</w:t>
      </w:r>
    </w:p>
    <w:p w14:paraId="245900BF">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lang w:val="en-US" w:eastAsia="zh-CN"/>
        </w:rPr>
        <w:t>11</w:t>
      </w:r>
      <w:r>
        <w:rPr>
          <w:rFonts w:hint="eastAsia" w:ascii="宋体" w:hAnsi="宋体"/>
          <w:color w:val="000000"/>
          <w:sz w:val="24"/>
          <w:szCs w:val="24"/>
          <w:highlight w:val="none"/>
        </w:rPr>
        <w:t>.1乙方项目负责人：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。在项目设计实施、质量验收、售后配送等阶段，全权负责本项目的一切协调、管理工作。每一阶段实施，乙方必须有项目负责人现场管理。</w:t>
      </w:r>
    </w:p>
    <w:p w14:paraId="64102954">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lang w:val="en-US" w:eastAsia="zh-CN"/>
        </w:rPr>
        <w:t>11</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乙方应完全响应招标文件基本服务要求和严格履行投标文件中的服务承诺。</w:t>
      </w:r>
    </w:p>
    <w:p w14:paraId="5E816EB4">
      <w:pPr>
        <w:pStyle w:val="259"/>
        <w:numPr>
          <w:ilvl w:val="0"/>
          <w:numId w:val="0"/>
        </w:numPr>
        <w:spacing w:line="460" w:lineRule="exact"/>
        <w:ind w:firstLine="482" w:firstLineChars="0"/>
        <w:rPr>
          <w:rFonts w:hint="eastAsia" w:ascii="宋体" w:hAnsi="宋体"/>
          <w:b/>
          <w:sz w:val="24"/>
          <w:szCs w:val="24"/>
          <w:highlight w:val="none"/>
          <w:lang w:val="en-US" w:eastAsia="zh-CN"/>
        </w:rPr>
      </w:pPr>
      <w:r>
        <w:rPr>
          <w:rFonts w:hint="eastAsia" w:ascii="宋体" w:hAnsi="宋体" w:cs="Times New Roman"/>
          <w:b/>
          <w:sz w:val="24"/>
          <w:szCs w:val="24"/>
          <w:lang w:val="en-US" w:eastAsia="zh-CN" w:bidi="ar-SA"/>
        </w:rPr>
        <w:t>12</w:t>
      </w:r>
      <w:r>
        <w:rPr>
          <w:rFonts w:hint="eastAsia" w:ascii="宋体" w:hAnsi="宋体" w:eastAsia="宋体" w:cs="Times New Roman"/>
          <w:b/>
          <w:sz w:val="24"/>
          <w:szCs w:val="24"/>
          <w:lang w:val="en-US" w:eastAsia="zh-CN" w:bidi="ar-SA"/>
        </w:rPr>
        <w:t>.</w:t>
      </w:r>
      <w:r>
        <w:rPr>
          <w:rFonts w:hint="eastAsia" w:ascii="宋体" w:hAnsi="宋体"/>
          <w:b/>
          <w:sz w:val="24"/>
          <w:szCs w:val="24"/>
          <w:highlight w:val="none"/>
          <w:lang w:val="en-US" w:eastAsia="zh-CN"/>
        </w:rPr>
        <w:t>甲乙双方的权利和义务</w:t>
      </w:r>
    </w:p>
    <w:p w14:paraId="25809D25">
      <w:pPr>
        <w:pStyle w:val="259"/>
        <w:numPr>
          <w:ilvl w:val="0"/>
          <w:numId w:val="0"/>
        </w:numPr>
        <w:spacing w:line="460" w:lineRule="exact"/>
        <w:ind w:firstLine="480"/>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t>12.1甲方的权利和义务</w:t>
      </w:r>
    </w:p>
    <w:p w14:paraId="1184CEC3">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default" w:ascii="宋体" w:hAnsi="宋体"/>
          <w:b w:val="0"/>
          <w:bCs/>
          <w:sz w:val="24"/>
          <w:szCs w:val="24"/>
          <w:highlight w:val="none"/>
          <w:lang w:val="en-US" w:eastAsia="zh-CN"/>
        </w:rPr>
        <w:t>（1）甲方为乙方提供服务需用的水、电等必备条件，水、电、气费由甲方承担。</w:t>
      </w:r>
    </w:p>
    <w:p w14:paraId="0DF5B543">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default" w:ascii="宋体" w:hAnsi="宋体"/>
          <w:b w:val="0"/>
          <w:bCs/>
          <w:sz w:val="24"/>
          <w:szCs w:val="24"/>
          <w:highlight w:val="none"/>
          <w:lang w:val="en-US" w:eastAsia="zh-CN"/>
        </w:rPr>
        <w:t>（2）乙方服务工作中如需临时占用公用部位操作，甲方负责相关协调工作。</w:t>
      </w:r>
    </w:p>
    <w:p w14:paraId="1382AAFD">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default" w:ascii="宋体" w:hAnsi="宋体"/>
          <w:b w:val="0"/>
          <w:bCs/>
          <w:sz w:val="24"/>
          <w:szCs w:val="24"/>
          <w:highlight w:val="none"/>
          <w:lang w:val="en-US" w:eastAsia="zh-CN"/>
        </w:rPr>
        <w:t>（3）甲方有权进入服务现场对服务项目的进度与质量进行检查、验收</w:t>
      </w:r>
      <w:r>
        <w:rPr>
          <w:rFonts w:hint="eastAsia" w:ascii="宋体" w:hAnsi="宋体"/>
          <w:b w:val="0"/>
          <w:bCs/>
          <w:sz w:val="24"/>
          <w:szCs w:val="24"/>
          <w:highlight w:val="none"/>
          <w:lang w:val="en-US" w:eastAsia="zh-CN"/>
        </w:rPr>
        <w:t>。</w:t>
      </w:r>
    </w:p>
    <w:p w14:paraId="121DAD7C">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eastAsia" w:ascii="宋体" w:hAnsi="宋体"/>
          <w:b w:val="0"/>
          <w:bCs/>
          <w:sz w:val="24"/>
          <w:szCs w:val="24"/>
          <w:highlight w:val="none"/>
          <w:lang w:val="en-US" w:eastAsia="zh-CN"/>
        </w:rPr>
        <w:t>12.2乙方的权利和义务</w:t>
      </w:r>
    </w:p>
    <w:p w14:paraId="457597D3">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eastAsia" w:ascii="宋体" w:hAnsi="宋体"/>
          <w:b w:val="0"/>
          <w:bCs/>
          <w:sz w:val="24"/>
          <w:szCs w:val="24"/>
          <w:highlight w:val="none"/>
          <w:lang w:val="en-US" w:eastAsia="zh-CN"/>
        </w:rPr>
        <w:t>（1）</w:t>
      </w:r>
      <w:r>
        <w:rPr>
          <w:rFonts w:hint="default" w:ascii="宋体" w:hAnsi="宋体"/>
          <w:b w:val="0"/>
          <w:bCs/>
          <w:sz w:val="24"/>
          <w:szCs w:val="24"/>
          <w:highlight w:val="none"/>
          <w:lang w:val="en-US" w:eastAsia="zh-CN"/>
        </w:rPr>
        <w:t>乙方在服务中应采取必要的安全防护和消防措施，保障作业人员及相邻人员的安全，防止相邻房屋的管道堵塞、渗漏水、停电、物品毁坏等事故发生。如遇上述情况发生，属于乙方责任的，由乙方负责修复和赔偿。</w:t>
      </w:r>
    </w:p>
    <w:p w14:paraId="77B3D068">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eastAsia" w:ascii="宋体" w:hAnsi="宋体"/>
          <w:b w:val="0"/>
          <w:bCs/>
          <w:sz w:val="24"/>
          <w:szCs w:val="24"/>
          <w:highlight w:val="none"/>
          <w:lang w:val="en-US" w:eastAsia="zh-CN"/>
        </w:rPr>
        <w:t>（2）</w:t>
      </w:r>
      <w:r>
        <w:rPr>
          <w:rFonts w:hint="default" w:ascii="宋体" w:hAnsi="宋体"/>
          <w:b w:val="0"/>
          <w:bCs/>
          <w:sz w:val="24"/>
          <w:szCs w:val="24"/>
          <w:highlight w:val="none"/>
          <w:lang w:val="en-US" w:eastAsia="zh-CN"/>
        </w:rPr>
        <w:t>乙方如因服务原因需居住在服务现场，日常用水、用电、用燃气等必须注意安全，如乙方因此而造成相关后果，由乙方负责。</w:t>
      </w:r>
    </w:p>
    <w:p w14:paraId="47253C39">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eastAsia" w:ascii="宋体" w:hAnsi="宋体"/>
          <w:b w:val="0"/>
          <w:bCs/>
          <w:sz w:val="24"/>
          <w:szCs w:val="24"/>
          <w:highlight w:val="none"/>
          <w:lang w:val="en-US" w:eastAsia="zh-CN"/>
        </w:rPr>
        <w:t>（3）</w:t>
      </w:r>
      <w:r>
        <w:rPr>
          <w:rFonts w:hint="default" w:ascii="宋体" w:hAnsi="宋体"/>
          <w:b w:val="0"/>
          <w:bCs/>
          <w:sz w:val="24"/>
          <w:szCs w:val="24"/>
          <w:highlight w:val="none"/>
          <w:lang w:val="en-US" w:eastAsia="zh-CN"/>
        </w:rPr>
        <w:t>乙方应做好服务现场管理工作，禁止无关人员进入现场。</w:t>
      </w:r>
    </w:p>
    <w:p w14:paraId="3AE86CDD">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eastAsia" w:ascii="宋体" w:hAnsi="宋体"/>
          <w:b w:val="0"/>
          <w:bCs/>
          <w:sz w:val="24"/>
          <w:szCs w:val="24"/>
          <w:highlight w:val="none"/>
          <w:lang w:val="en-US" w:eastAsia="zh-CN"/>
        </w:rPr>
        <w:t>（4）</w:t>
      </w:r>
      <w:r>
        <w:rPr>
          <w:rFonts w:hint="default" w:ascii="宋体" w:hAnsi="宋体"/>
          <w:b w:val="0"/>
          <w:bCs/>
          <w:sz w:val="24"/>
          <w:szCs w:val="24"/>
          <w:highlight w:val="none"/>
          <w:lang w:val="en-US" w:eastAsia="zh-CN"/>
        </w:rPr>
        <w:t>乙方本合同履行过程中造成自身或他人人身、财产损失的，由乙方承担全部责任，给甲方造成损失的，甲方有权向乙方追偿。</w:t>
      </w:r>
    </w:p>
    <w:p w14:paraId="3FFB11DC">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eastAsia" w:ascii="宋体" w:hAnsi="宋体"/>
          <w:b w:val="0"/>
          <w:bCs/>
          <w:sz w:val="24"/>
          <w:szCs w:val="24"/>
          <w:highlight w:val="none"/>
          <w:lang w:val="en-US" w:eastAsia="zh-CN"/>
        </w:rPr>
        <w:t>（5）</w:t>
      </w:r>
      <w:r>
        <w:rPr>
          <w:rFonts w:hint="default" w:ascii="宋体" w:hAnsi="宋体"/>
          <w:b w:val="0"/>
          <w:bCs/>
          <w:sz w:val="24"/>
          <w:szCs w:val="24"/>
          <w:highlight w:val="none"/>
          <w:lang w:val="en-US" w:eastAsia="zh-CN"/>
        </w:rPr>
        <w:t>乙方交通工具自备，所有安全责任自负，与甲方无涉。</w:t>
      </w:r>
    </w:p>
    <w:p w14:paraId="4814F57A">
      <w:pPr>
        <w:pStyle w:val="259"/>
        <w:numPr>
          <w:ilvl w:val="0"/>
          <w:numId w:val="0"/>
        </w:numPr>
        <w:spacing w:line="460" w:lineRule="exact"/>
        <w:ind w:firstLine="480"/>
        <w:rPr>
          <w:rFonts w:hint="default" w:ascii="宋体" w:hAnsi="宋体"/>
          <w:b w:val="0"/>
          <w:bCs/>
          <w:sz w:val="24"/>
          <w:szCs w:val="24"/>
          <w:highlight w:val="none"/>
          <w:lang w:val="en-US" w:eastAsia="zh-CN"/>
        </w:rPr>
      </w:pPr>
      <w:r>
        <w:rPr>
          <w:rFonts w:hint="eastAsia" w:ascii="宋体" w:hAnsi="宋体"/>
          <w:b w:val="0"/>
          <w:bCs/>
          <w:sz w:val="24"/>
          <w:szCs w:val="24"/>
          <w:highlight w:val="none"/>
          <w:lang w:val="en-US" w:eastAsia="zh-CN"/>
        </w:rPr>
        <w:t>（6）</w:t>
      </w:r>
      <w:r>
        <w:rPr>
          <w:rFonts w:hint="default" w:ascii="宋体" w:hAnsi="宋体"/>
          <w:b w:val="0"/>
          <w:bCs/>
          <w:sz w:val="24"/>
          <w:szCs w:val="24"/>
          <w:highlight w:val="none"/>
          <w:lang w:val="en-US" w:eastAsia="zh-CN"/>
        </w:rPr>
        <w:t>乙方工作中用水、用电、动火等必须注意安全，如乙方因此而造成相关后果，由乙方负责。</w:t>
      </w:r>
    </w:p>
    <w:p w14:paraId="524C9AD8">
      <w:pPr>
        <w:pStyle w:val="259"/>
        <w:spacing w:line="460" w:lineRule="exact"/>
        <w:ind w:firstLine="482"/>
        <w:rPr>
          <w:rFonts w:ascii="宋体" w:hAnsi="宋体"/>
          <w:b/>
          <w:sz w:val="24"/>
          <w:szCs w:val="24"/>
          <w:highlight w:val="none"/>
        </w:rPr>
      </w:pPr>
      <w:r>
        <w:rPr>
          <w:rFonts w:hint="eastAsia" w:ascii="宋体" w:hAnsi="宋体"/>
          <w:b/>
          <w:sz w:val="24"/>
          <w:szCs w:val="24"/>
          <w:highlight w:val="none"/>
          <w:lang w:val="en-US" w:eastAsia="zh-CN"/>
        </w:rPr>
        <w:t>12</w:t>
      </w:r>
      <w:r>
        <w:rPr>
          <w:rFonts w:hint="eastAsia" w:ascii="宋体" w:hAnsi="宋体"/>
          <w:b/>
          <w:sz w:val="24"/>
          <w:szCs w:val="24"/>
          <w:highlight w:val="none"/>
        </w:rPr>
        <w:t>.验收</w:t>
      </w:r>
    </w:p>
    <w:p w14:paraId="0401510B">
      <w:pPr>
        <w:pStyle w:val="259"/>
        <w:spacing w:line="4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1</w:t>
      </w: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.1验收时间：</w:t>
      </w:r>
    </w:p>
    <w:p w14:paraId="7A85E6F6">
      <w:pPr>
        <w:pStyle w:val="259"/>
        <w:spacing w:line="460" w:lineRule="exact"/>
        <w:ind w:firstLine="480"/>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1</w:t>
      </w: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.2验收要求：</w:t>
      </w:r>
      <w:r>
        <w:rPr>
          <w:rFonts w:hint="eastAsia" w:ascii="宋体" w:hAnsi="宋体" w:eastAsia="宋体" w:cs="Times New Roman"/>
          <w:color w:val="000000"/>
          <w:sz w:val="24"/>
          <w:szCs w:val="24"/>
          <w:highlight w:val="none"/>
          <w:lang w:val="en-US" w:eastAsia="zh-CN"/>
        </w:rPr>
        <w:t>根据磋商文件中的要求，每月进行验收。</w:t>
      </w:r>
    </w:p>
    <w:p w14:paraId="1E435310">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rPr>
        <w:t>1</w:t>
      </w:r>
      <w:r>
        <w:rPr>
          <w:rFonts w:hint="eastAsia" w:ascii="宋体" w:hAnsi="宋体"/>
          <w:b/>
          <w:color w:val="000000"/>
          <w:sz w:val="24"/>
          <w:szCs w:val="24"/>
          <w:highlight w:val="none"/>
          <w:lang w:val="en-US" w:eastAsia="zh-CN"/>
        </w:rPr>
        <w:t>3</w:t>
      </w:r>
      <w:r>
        <w:rPr>
          <w:rFonts w:hint="eastAsia" w:ascii="宋体" w:hAnsi="宋体"/>
          <w:b/>
          <w:color w:val="000000"/>
          <w:sz w:val="24"/>
          <w:szCs w:val="24"/>
          <w:highlight w:val="none"/>
        </w:rPr>
        <w:t>.知识产权及使用权</w:t>
      </w:r>
    </w:p>
    <w:p w14:paraId="02318058">
      <w:pPr>
        <w:pStyle w:val="259"/>
        <w:spacing w:line="460" w:lineRule="exact"/>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13</w:t>
      </w:r>
      <w:r>
        <w:rPr>
          <w:rFonts w:ascii="宋体" w:hAnsi="宋体"/>
          <w:color w:val="000000"/>
          <w:sz w:val="24"/>
          <w:szCs w:val="24"/>
          <w:highlight w:val="none"/>
        </w:rPr>
        <w:t>.1</w:t>
      </w:r>
      <w:r>
        <w:rPr>
          <w:rFonts w:hint="eastAsia" w:ascii="宋体" w:hAnsi="宋体"/>
          <w:color w:val="000000"/>
          <w:sz w:val="24"/>
          <w:szCs w:val="24"/>
          <w:highlight w:val="none"/>
        </w:rPr>
        <w:t>乙方必须保证投标文件、中标后提供的文件及资料均未侵犯他人的知识产权，否则必须承担由此引起的全部法律责任和经济责任。</w:t>
      </w:r>
    </w:p>
    <w:p w14:paraId="1DC69500">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3</w:t>
      </w:r>
      <w:r>
        <w:rPr>
          <w:rFonts w:ascii="宋体" w:hAnsi="宋体"/>
          <w:color w:val="000000"/>
          <w:sz w:val="24"/>
          <w:szCs w:val="24"/>
          <w:highlight w:val="none"/>
        </w:rPr>
        <w:t>.2</w:t>
      </w:r>
      <w:r>
        <w:rPr>
          <w:rFonts w:hint="eastAsia" w:ascii="宋体" w:hAnsi="宋体"/>
          <w:color w:val="000000"/>
          <w:sz w:val="24"/>
          <w:szCs w:val="24"/>
          <w:highlight w:val="none"/>
        </w:rPr>
        <w:t>乙方提交的所有投标文件及成果，其所有权均归甲方所有，甲方可任意使用其全部成果。成交及未成交供应商的投标文件在递交后均不予退回。</w:t>
      </w:r>
      <w:r>
        <w:rPr>
          <w:rFonts w:ascii="宋体" w:hAnsi="宋体"/>
          <w:color w:val="000000"/>
          <w:sz w:val="24"/>
          <w:szCs w:val="24"/>
          <w:highlight w:val="none"/>
        </w:rPr>
        <w:t xml:space="preserve">  </w:t>
      </w:r>
    </w:p>
    <w:p w14:paraId="5C596713">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lang w:val="en-US" w:eastAsia="zh-CN"/>
        </w:rPr>
        <w:t>14</w:t>
      </w:r>
      <w:r>
        <w:rPr>
          <w:rFonts w:hint="eastAsia" w:ascii="宋体" w:hAnsi="宋体"/>
          <w:b/>
          <w:color w:val="000000"/>
          <w:sz w:val="24"/>
          <w:szCs w:val="24"/>
          <w:highlight w:val="none"/>
        </w:rPr>
        <w:t>.保密</w:t>
      </w:r>
    </w:p>
    <w:p w14:paraId="524C5128">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.1</w:t>
      </w:r>
      <w:r>
        <w:rPr>
          <w:rFonts w:ascii="宋体" w:hAnsi="宋体"/>
          <w:color w:val="000000"/>
          <w:sz w:val="24"/>
          <w:szCs w:val="24"/>
          <w:highlight w:val="none"/>
        </w:rPr>
        <w:t>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p>
    <w:p w14:paraId="0B754BB0">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.2</w:t>
      </w:r>
      <w:r>
        <w:rPr>
          <w:rFonts w:ascii="宋体" w:hAnsi="宋体"/>
          <w:color w:val="000000"/>
          <w:sz w:val="24"/>
          <w:szCs w:val="24"/>
          <w:highlight w:val="none"/>
        </w:rPr>
        <w:t>除履行本合同义务内容所需外，未经对方事先书面同意，任一方不得擅自使用、复制对商标、标志、商业信息、技术及其他资料。</w:t>
      </w:r>
    </w:p>
    <w:p w14:paraId="557000F7">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.3</w:t>
      </w:r>
      <w:r>
        <w:rPr>
          <w:rFonts w:ascii="宋体" w:hAnsi="宋体"/>
          <w:color w:val="000000"/>
          <w:sz w:val="24"/>
          <w:szCs w:val="24"/>
          <w:highlight w:val="none"/>
        </w:rPr>
        <w:t>本保密条款长期有效，本合同变更、终止或解除等均不影响本条款的效力。</w:t>
      </w:r>
    </w:p>
    <w:p w14:paraId="23E72B62">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rPr>
        <w:t>1</w:t>
      </w:r>
      <w:r>
        <w:rPr>
          <w:rFonts w:hint="eastAsia" w:ascii="宋体" w:hAnsi="宋体"/>
          <w:b/>
          <w:color w:val="000000"/>
          <w:sz w:val="24"/>
          <w:szCs w:val="24"/>
          <w:highlight w:val="none"/>
          <w:lang w:val="en-US" w:eastAsia="zh-CN"/>
        </w:rPr>
        <w:t>5</w:t>
      </w:r>
      <w:r>
        <w:rPr>
          <w:rFonts w:hint="eastAsia" w:ascii="宋体" w:hAnsi="宋体"/>
          <w:b/>
          <w:color w:val="000000"/>
          <w:sz w:val="24"/>
          <w:szCs w:val="24"/>
          <w:highlight w:val="none"/>
        </w:rPr>
        <w:t>.违约责任</w:t>
      </w:r>
    </w:p>
    <w:p w14:paraId="290A74E0">
      <w:pPr>
        <w:pStyle w:val="259"/>
        <w:spacing w:line="460" w:lineRule="exact"/>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.1合同经双方签字生效后，双方必须严格遵守，除因不可抗力情形或出现</w:t>
      </w:r>
      <w:r>
        <w:rPr>
          <w:rFonts w:hint="eastAsia" w:ascii="宋体" w:hAnsi="宋体"/>
          <w:color w:val="000000"/>
          <w:sz w:val="24"/>
          <w:szCs w:val="24"/>
          <w:highlight w:val="none"/>
          <w:lang w:val="en-US" w:eastAsia="zh-CN"/>
        </w:rPr>
        <w:t>甲方</w:t>
      </w:r>
      <w:r>
        <w:rPr>
          <w:rFonts w:hint="eastAsia" w:ascii="宋体" w:hAnsi="宋体"/>
          <w:color w:val="000000"/>
          <w:sz w:val="24"/>
          <w:szCs w:val="24"/>
          <w:highlight w:val="none"/>
        </w:rPr>
        <w:t>可单方面解除/终止合同的情形，任何一方不得单方面解除或终止合同，否则应向对方支付违约金</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70000</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元</w:t>
      </w:r>
      <w:r>
        <w:rPr>
          <w:rFonts w:hint="eastAsia" w:ascii="宋体" w:hAnsi="宋体"/>
          <w:color w:val="000000"/>
          <w:sz w:val="24"/>
          <w:szCs w:val="24"/>
          <w:highlight w:val="none"/>
          <w:lang w:eastAsia="zh-CN"/>
        </w:rPr>
        <w:t>。</w:t>
      </w:r>
    </w:p>
    <w:p w14:paraId="5B10925C">
      <w:pPr>
        <w:pStyle w:val="259"/>
        <w:spacing w:line="460" w:lineRule="exact"/>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15.2一方未遵守合同约定构成违约的，磋商文件另有约定除外，应当向守约方支付违约金</w:t>
      </w:r>
      <w:r>
        <w:rPr>
          <w:rFonts w:hint="eastAsia" w:ascii="宋体" w:hAnsi="宋体"/>
          <w:color w:val="000000"/>
          <w:sz w:val="24"/>
          <w:szCs w:val="24"/>
          <w:highlight w:val="none"/>
          <w:u w:val="single"/>
          <w:lang w:val="en-US" w:eastAsia="zh-CN"/>
        </w:rPr>
        <w:t xml:space="preserve"> 70000 </w:t>
      </w:r>
      <w:r>
        <w:rPr>
          <w:rFonts w:hint="eastAsia" w:ascii="宋体" w:hAnsi="宋体"/>
          <w:color w:val="000000"/>
          <w:sz w:val="24"/>
          <w:szCs w:val="24"/>
          <w:highlight w:val="none"/>
          <w:lang w:val="en-US" w:eastAsia="zh-CN"/>
        </w:rPr>
        <w:t>元，并赔偿守约方因此产生的损失。</w:t>
      </w:r>
    </w:p>
    <w:p w14:paraId="2E04A1B9">
      <w:pPr>
        <w:pStyle w:val="259"/>
        <w:spacing w:line="460" w:lineRule="exact"/>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15.3本合同不得转包，如有违反，甲方有权解除本合同，同时，乙方应向甲方支付违约金 70000 元，给甲方造成损失的，还应赔偿甲方一切经济损失。</w:t>
      </w:r>
    </w:p>
    <w:p w14:paraId="35AC05AC">
      <w:pPr>
        <w:pStyle w:val="259"/>
        <w:spacing w:line="460" w:lineRule="exact"/>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15.4乙方被投诉，经甲方调查存在不当行为的，扣200元/次。</w:t>
      </w:r>
    </w:p>
    <w:p w14:paraId="6B6608D8">
      <w:pPr>
        <w:pStyle w:val="259"/>
        <w:spacing w:line="460" w:lineRule="exact"/>
        <w:ind w:firstLine="480"/>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15.5乙方违反甲方相关管理制度的，甲方有权对乙方进行经济处罚，每次罚款200元。</w:t>
      </w:r>
    </w:p>
    <w:p w14:paraId="5D3192C4">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.2因乙方原因，未能按规定时间完成有关工作的，每延误一天，甲方可在支付合同余款中扣除合同价款</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‰，累计扣款达到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%时，甲方有权终止合同，并保留追究乙方责任及要求赔偿损失的权利。如未能通过验收，甲方保留追究乙方责任及要求赔偿损失的权利。</w:t>
      </w:r>
    </w:p>
    <w:p w14:paraId="17892813">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.3乙方应全面履行合同，甲方不接受合同的部分履行。若未能如期交付，有关的延误视为整个项目的延误，可视为合同全部未能完成，甲方有权拒付（追回）全部价款并解除合同。</w:t>
      </w:r>
    </w:p>
    <w:p w14:paraId="39356E88">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.4如乙方提供的维护服务文件不符合质量要求，必须在甲方提出要求后7天内无条件修改。</w:t>
      </w:r>
    </w:p>
    <w:p w14:paraId="6171E8A8">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rPr>
        <w:t>1</w:t>
      </w:r>
      <w:r>
        <w:rPr>
          <w:rFonts w:hint="eastAsia" w:ascii="宋体" w:hAnsi="宋体"/>
          <w:b/>
          <w:color w:val="000000"/>
          <w:sz w:val="24"/>
          <w:szCs w:val="24"/>
          <w:highlight w:val="none"/>
          <w:lang w:val="en-US" w:eastAsia="zh-CN"/>
        </w:rPr>
        <w:t>6</w:t>
      </w:r>
      <w:r>
        <w:rPr>
          <w:rFonts w:hint="eastAsia" w:ascii="宋体" w:hAnsi="宋体"/>
          <w:b/>
          <w:color w:val="000000"/>
          <w:sz w:val="24"/>
          <w:szCs w:val="24"/>
          <w:highlight w:val="none"/>
        </w:rPr>
        <w:t>.不可抗力</w:t>
      </w:r>
    </w:p>
    <w:p w14:paraId="20B089BB">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.1本条所称“不可抗力”是指战争、严重火灾、洪水、台风、地震等或其它双方认定的不可抗力事件。</w:t>
      </w:r>
    </w:p>
    <w:p w14:paraId="338E560D">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.2由于不可预见、不可避免、不可克服等不可抗力的原因，任一方不能履行本合同部分或全部义务的，应当在不可抗力发生时起24小时内以书面形式通知对方，证明不可抗力事件的存在。</w:t>
      </w:r>
    </w:p>
    <w:p w14:paraId="7BC30C6B">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6</w:t>
      </w:r>
      <w:r>
        <w:rPr>
          <w:rFonts w:hint="eastAsia" w:ascii="宋体" w:hAnsi="宋体"/>
          <w:color w:val="000000"/>
          <w:sz w:val="24"/>
          <w:szCs w:val="24"/>
          <w:highlight w:val="none"/>
        </w:rPr>
        <w:t>.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p>
    <w:p w14:paraId="24C2AF30">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rPr>
        <w:t>1</w:t>
      </w:r>
      <w:r>
        <w:rPr>
          <w:rFonts w:hint="eastAsia" w:ascii="宋体" w:hAnsi="宋体"/>
          <w:b/>
          <w:color w:val="000000"/>
          <w:sz w:val="24"/>
          <w:szCs w:val="24"/>
          <w:highlight w:val="none"/>
          <w:lang w:val="en-US" w:eastAsia="zh-CN"/>
        </w:rPr>
        <w:t>7</w:t>
      </w:r>
      <w:r>
        <w:rPr>
          <w:rFonts w:hint="eastAsia" w:ascii="宋体" w:hAnsi="宋体"/>
          <w:b/>
          <w:color w:val="000000"/>
          <w:sz w:val="24"/>
          <w:szCs w:val="24"/>
          <w:highlight w:val="none"/>
        </w:rPr>
        <w:t>.解决争议的方法</w:t>
      </w:r>
    </w:p>
    <w:p w14:paraId="4124150C">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.1在执行本合同中所发生的或与本合同有关的一切争端，甲方和乙方应通过友好协商的办法进行解决。如协商仍不能解决，则通过由甲方所在地人民法院诉讼。</w:t>
      </w:r>
    </w:p>
    <w:p w14:paraId="39E5A467">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7</w:t>
      </w:r>
      <w:r>
        <w:rPr>
          <w:rFonts w:hint="eastAsia" w:ascii="宋体" w:hAnsi="宋体"/>
          <w:color w:val="000000"/>
          <w:sz w:val="24"/>
          <w:szCs w:val="24"/>
          <w:highlight w:val="none"/>
        </w:rPr>
        <w:t>.2在诉讼期间，本合同应继续执行。</w:t>
      </w:r>
    </w:p>
    <w:p w14:paraId="46455D2F">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rPr>
        <w:t>1</w:t>
      </w:r>
      <w:r>
        <w:rPr>
          <w:rFonts w:hint="eastAsia" w:ascii="宋体" w:hAnsi="宋体"/>
          <w:b/>
          <w:color w:val="000000"/>
          <w:sz w:val="24"/>
          <w:szCs w:val="24"/>
          <w:highlight w:val="none"/>
          <w:lang w:val="en-US" w:eastAsia="zh-CN"/>
        </w:rPr>
        <w:t>8</w:t>
      </w:r>
      <w:r>
        <w:rPr>
          <w:rFonts w:hint="eastAsia" w:ascii="宋体" w:hAnsi="宋体"/>
          <w:b/>
          <w:color w:val="000000"/>
          <w:sz w:val="24"/>
          <w:szCs w:val="24"/>
          <w:highlight w:val="none"/>
        </w:rPr>
        <w:t>.破产终止合同</w:t>
      </w:r>
    </w:p>
    <w:p w14:paraId="3EECA0CF">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8</w:t>
      </w:r>
      <w:r>
        <w:rPr>
          <w:rFonts w:hint="eastAsia" w:ascii="宋体" w:hAnsi="宋体"/>
          <w:color w:val="000000"/>
          <w:sz w:val="24"/>
          <w:szCs w:val="24"/>
          <w:highlight w:val="none"/>
        </w:rPr>
        <w:t>.1如果乙方破产时，甲方得在任何时候书面通知乙方终止合同而不给乙方补偿。该终止合同将不损害或影响甲方已经或将要采取的补救措施的权利。</w:t>
      </w:r>
    </w:p>
    <w:p w14:paraId="34ED558A">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rPr>
        <w:t>1</w:t>
      </w:r>
      <w:r>
        <w:rPr>
          <w:rFonts w:hint="eastAsia" w:ascii="宋体" w:hAnsi="宋体"/>
          <w:b/>
          <w:color w:val="000000"/>
          <w:sz w:val="24"/>
          <w:szCs w:val="24"/>
          <w:highlight w:val="none"/>
          <w:lang w:val="en-US" w:eastAsia="zh-CN"/>
        </w:rPr>
        <w:t>9</w:t>
      </w:r>
      <w:r>
        <w:rPr>
          <w:rFonts w:hint="eastAsia" w:ascii="宋体" w:hAnsi="宋体"/>
          <w:b/>
          <w:color w:val="000000"/>
          <w:sz w:val="24"/>
          <w:szCs w:val="24"/>
          <w:highlight w:val="none"/>
        </w:rPr>
        <w:t>.转让和分包</w:t>
      </w:r>
    </w:p>
    <w:p w14:paraId="05020DE5">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1</w:t>
      </w:r>
      <w:r>
        <w:rPr>
          <w:rFonts w:hint="eastAsia" w:ascii="宋体" w:hAnsi="宋体"/>
          <w:color w:val="000000"/>
          <w:sz w:val="24"/>
          <w:szCs w:val="24"/>
          <w:highlight w:val="none"/>
          <w:lang w:val="en-US" w:eastAsia="zh-CN"/>
        </w:rPr>
        <w:t>9</w:t>
      </w:r>
      <w:r>
        <w:rPr>
          <w:rFonts w:hint="eastAsia" w:ascii="宋体" w:hAnsi="宋体"/>
          <w:color w:val="000000"/>
          <w:sz w:val="24"/>
          <w:szCs w:val="24"/>
          <w:highlight w:val="none"/>
        </w:rPr>
        <w:t>.1</w:t>
      </w:r>
      <w:r>
        <w:rPr>
          <w:rFonts w:hint="eastAsia" w:ascii="宋体" w:hAnsi="宋体"/>
          <w:color w:val="000000"/>
          <w:sz w:val="24"/>
          <w:szCs w:val="28"/>
          <w:highlight w:val="none"/>
        </w:rPr>
        <w:t>本项目不得转包及分包。</w:t>
      </w:r>
    </w:p>
    <w:p w14:paraId="75F72CCA">
      <w:pPr>
        <w:pStyle w:val="259"/>
        <w:spacing w:line="460" w:lineRule="exact"/>
        <w:ind w:firstLine="482"/>
        <w:rPr>
          <w:rFonts w:ascii="宋体" w:hAnsi="宋体"/>
          <w:b/>
          <w:color w:val="000000"/>
          <w:sz w:val="24"/>
          <w:szCs w:val="24"/>
          <w:highlight w:val="none"/>
        </w:rPr>
      </w:pPr>
      <w:r>
        <w:rPr>
          <w:rFonts w:hint="eastAsia" w:ascii="宋体" w:hAnsi="宋体"/>
          <w:b/>
          <w:color w:val="000000"/>
          <w:sz w:val="24"/>
          <w:szCs w:val="24"/>
          <w:highlight w:val="none"/>
          <w:lang w:val="en-US" w:eastAsia="zh-CN"/>
        </w:rPr>
        <w:t>20</w:t>
      </w:r>
      <w:r>
        <w:rPr>
          <w:rFonts w:hint="eastAsia" w:ascii="宋体" w:hAnsi="宋体"/>
          <w:b/>
          <w:color w:val="000000"/>
          <w:sz w:val="24"/>
          <w:szCs w:val="24"/>
          <w:highlight w:val="none"/>
        </w:rPr>
        <w:t>.合同生效及其它</w:t>
      </w:r>
    </w:p>
    <w:p w14:paraId="581D5B6D">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lang w:val="en-US" w:eastAsia="zh-CN"/>
        </w:rPr>
        <w:t>20</w:t>
      </w:r>
      <w:r>
        <w:rPr>
          <w:rFonts w:hint="eastAsia" w:ascii="宋体" w:hAnsi="宋体"/>
          <w:color w:val="000000"/>
          <w:sz w:val="24"/>
          <w:szCs w:val="24"/>
          <w:highlight w:val="none"/>
        </w:rPr>
        <w:t>.1本合同经甲方、乙方签字盖章后生效。本合同一式肆份，甲乙</w:t>
      </w:r>
      <w:r>
        <w:rPr>
          <w:rFonts w:ascii="宋体" w:hAnsi="宋体"/>
          <w:color w:val="000000"/>
          <w:sz w:val="24"/>
          <w:szCs w:val="24"/>
          <w:highlight w:val="none"/>
        </w:rPr>
        <w:t>双方、财政监督管理部门、见证方各壹</w:t>
      </w:r>
      <w:r>
        <w:rPr>
          <w:rFonts w:hint="eastAsia" w:ascii="宋体" w:hAnsi="宋体"/>
          <w:color w:val="000000"/>
          <w:sz w:val="24"/>
          <w:szCs w:val="24"/>
          <w:highlight w:val="none"/>
        </w:rPr>
        <w:t>份。</w:t>
      </w:r>
    </w:p>
    <w:p w14:paraId="05BEB2B8">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lang w:val="en-US" w:eastAsia="zh-CN"/>
        </w:rPr>
        <w:t>20</w:t>
      </w:r>
      <w:r>
        <w:rPr>
          <w:rFonts w:hint="eastAsia" w:ascii="宋体" w:hAnsi="宋体"/>
          <w:color w:val="000000"/>
          <w:sz w:val="24"/>
          <w:szCs w:val="24"/>
          <w:highlight w:val="none"/>
        </w:rPr>
        <w:t>.2 本合同有效期为生效之日起至XXX年XX月XX日。</w:t>
      </w:r>
    </w:p>
    <w:p w14:paraId="24DF28F9">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lang w:val="en-US" w:eastAsia="zh-CN"/>
        </w:rPr>
        <w:t>20.</w:t>
      </w:r>
      <w:r>
        <w:rPr>
          <w:rFonts w:hint="eastAsia" w:ascii="宋体" w:hAnsi="宋体"/>
          <w:color w:val="000000"/>
          <w:sz w:val="24"/>
          <w:szCs w:val="24"/>
          <w:highlight w:val="none"/>
        </w:rPr>
        <w:t>3本合同应按照中华人民共和国的现行法律进行解释。</w:t>
      </w:r>
    </w:p>
    <w:p w14:paraId="3772735F">
      <w:pPr>
        <w:pStyle w:val="259"/>
        <w:spacing w:line="460" w:lineRule="exact"/>
        <w:ind w:firstLine="480"/>
        <w:rPr>
          <w:rFonts w:ascii="宋体" w:hAnsi="宋体"/>
          <w:color w:val="000000"/>
          <w:sz w:val="24"/>
          <w:szCs w:val="24"/>
          <w:highlight w:val="none"/>
        </w:rPr>
      </w:pPr>
    </w:p>
    <w:p w14:paraId="3811FBA0">
      <w:pPr>
        <w:pStyle w:val="259"/>
        <w:spacing w:line="460" w:lineRule="exact"/>
        <w:ind w:firstLine="480"/>
        <w:rPr>
          <w:rFonts w:ascii="宋体" w:hAnsi="宋体"/>
          <w:color w:val="000000"/>
          <w:sz w:val="24"/>
          <w:szCs w:val="24"/>
          <w:highlight w:val="none"/>
        </w:rPr>
      </w:pPr>
    </w:p>
    <w:p w14:paraId="21293DE5">
      <w:pPr>
        <w:pStyle w:val="259"/>
        <w:spacing w:line="460" w:lineRule="exact"/>
        <w:ind w:firstLine="480"/>
        <w:rPr>
          <w:rFonts w:ascii="宋体" w:hAnsi="宋体"/>
          <w:bCs/>
          <w:color w:val="000000"/>
          <w:sz w:val="24"/>
          <w:szCs w:val="24"/>
          <w:highlight w:val="none"/>
        </w:rPr>
      </w:pPr>
      <w:r>
        <w:rPr>
          <w:rFonts w:hint="eastAsia" w:ascii="宋体" w:hAnsi="宋体"/>
          <w:color w:val="000000"/>
          <w:sz w:val="24"/>
          <w:szCs w:val="24"/>
          <w:highlight w:val="none"/>
        </w:rPr>
        <w:t>甲方（单位盖章）：</w:t>
      </w:r>
      <w:r>
        <w:rPr>
          <w:rFonts w:hint="eastAsia" w:ascii="宋体" w:hAnsi="宋体"/>
          <w:color w:val="000000"/>
          <w:sz w:val="24"/>
          <w:szCs w:val="24"/>
          <w:highlight w:val="none"/>
          <w:u w:val="single"/>
        </w:rPr>
        <w:t xml:space="preserve">            </w:t>
      </w:r>
    </w:p>
    <w:p w14:paraId="3D24FEB5">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 xml:space="preserve">地    址： </w:t>
      </w:r>
      <w:r>
        <w:rPr>
          <w:rFonts w:hint="eastAsia" w:ascii="宋体" w:hAnsi="宋体"/>
          <w:color w:val="000000"/>
          <w:sz w:val="24"/>
          <w:szCs w:val="24"/>
          <w:highlight w:val="none"/>
          <w:u w:val="single"/>
        </w:rPr>
        <w:t xml:space="preserve">            </w:t>
      </w:r>
    </w:p>
    <w:p w14:paraId="2B6142E4">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u w:val="single"/>
        </w:rPr>
        <w:t xml:space="preserve">            </w:t>
      </w:r>
    </w:p>
    <w:p w14:paraId="5F68465A">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 xml:space="preserve">法定代表人或授权代表（签字）： </w:t>
      </w:r>
      <w:r>
        <w:rPr>
          <w:rFonts w:hint="eastAsia" w:ascii="宋体" w:hAnsi="宋体"/>
          <w:color w:val="000000"/>
          <w:sz w:val="24"/>
          <w:szCs w:val="24"/>
          <w:highlight w:val="none"/>
          <w:u w:val="single"/>
        </w:rPr>
        <w:t xml:space="preserve">        </w:t>
      </w:r>
    </w:p>
    <w:p w14:paraId="4B261446">
      <w:pPr>
        <w:pStyle w:val="259"/>
        <w:spacing w:line="460" w:lineRule="exact"/>
        <w:ind w:firstLine="480"/>
        <w:rPr>
          <w:rFonts w:ascii="宋体" w:hAnsi="宋体"/>
          <w:color w:val="000000"/>
          <w:sz w:val="24"/>
          <w:szCs w:val="24"/>
          <w:highlight w:val="none"/>
        </w:rPr>
      </w:pPr>
    </w:p>
    <w:p w14:paraId="71E58530">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乙方（单位盖章）：</w:t>
      </w:r>
      <w:r>
        <w:rPr>
          <w:rFonts w:hint="eastAsia" w:ascii="宋体" w:hAnsi="宋体"/>
          <w:color w:val="000000"/>
          <w:sz w:val="24"/>
          <w:szCs w:val="24"/>
          <w:highlight w:val="none"/>
          <w:u w:val="single"/>
        </w:rPr>
        <w:t xml:space="preserve">            </w:t>
      </w:r>
    </w:p>
    <w:p w14:paraId="13F6120C">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地    址：</w:t>
      </w:r>
      <w:r>
        <w:rPr>
          <w:rFonts w:hint="eastAsia" w:ascii="宋体" w:hAnsi="宋体"/>
          <w:color w:val="000000"/>
          <w:sz w:val="24"/>
          <w:szCs w:val="24"/>
          <w:highlight w:val="none"/>
          <w:u w:val="single"/>
        </w:rPr>
        <w:t xml:space="preserve">            </w:t>
      </w:r>
    </w:p>
    <w:p w14:paraId="49ED5EEF">
      <w:pPr>
        <w:pStyle w:val="259"/>
        <w:spacing w:line="460" w:lineRule="exact"/>
        <w:ind w:firstLine="480"/>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u w:val="single"/>
        </w:rPr>
        <w:t xml:space="preserve">            </w:t>
      </w:r>
    </w:p>
    <w:p w14:paraId="3D992382">
      <w:pPr>
        <w:pStyle w:val="259"/>
        <w:spacing w:line="460" w:lineRule="exact"/>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法定代表人或授权代表（签字）： </w:t>
      </w:r>
      <w:r>
        <w:rPr>
          <w:rFonts w:hint="eastAsia" w:ascii="宋体" w:hAnsi="宋体"/>
          <w:color w:val="000000"/>
          <w:sz w:val="24"/>
          <w:szCs w:val="24"/>
          <w:highlight w:val="none"/>
          <w:u w:val="single"/>
        </w:rPr>
        <w:t xml:space="preserve">        </w:t>
      </w:r>
    </w:p>
    <w:p w14:paraId="7A6E79EE">
      <w:pPr>
        <w:pStyle w:val="259"/>
        <w:spacing w:line="460" w:lineRule="exact"/>
        <w:ind w:firstLine="360"/>
        <w:rPr>
          <w:rFonts w:ascii="宋体" w:hAnsi="宋体"/>
          <w:sz w:val="24"/>
          <w:szCs w:val="24"/>
          <w:highlight w:val="none"/>
        </w:rPr>
      </w:pPr>
    </w:p>
    <w:p w14:paraId="1E0737B9">
      <w:pPr>
        <w:pStyle w:val="259"/>
        <w:spacing w:line="460" w:lineRule="exact"/>
        <w:ind w:left="-142" w:firstLine="142"/>
        <w:jc w:val="right"/>
        <w:rPr>
          <w:rFonts w:ascii="宋体" w:hAnsi="宋体"/>
          <w:color w:val="000000"/>
          <w:sz w:val="24"/>
          <w:szCs w:val="24"/>
          <w:highlight w:val="none"/>
        </w:rPr>
      </w:pPr>
    </w:p>
    <w:p w14:paraId="4E0A4318">
      <w:pPr>
        <w:pStyle w:val="259"/>
        <w:spacing w:line="460" w:lineRule="exact"/>
        <w:ind w:firstLine="4680"/>
        <w:rPr>
          <w:rFonts w:ascii="宋体" w:hAnsi="宋体"/>
          <w:color w:val="000000"/>
          <w:sz w:val="21"/>
          <w:szCs w:val="24"/>
          <w:highlight w:val="none"/>
        </w:rPr>
      </w:pPr>
      <w:r>
        <w:rPr>
          <w:rFonts w:hint="eastAsia" w:ascii="宋体" w:hAnsi="宋体"/>
          <w:color w:val="000000"/>
          <w:sz w:val="24"/>
          <w:szCs w:val="24"/>
          <w:highlight w:val="none"/>
        </w:rPr>
        <w:t>合同签订日期：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bookmarkEnd w:id="264"/>
    <w:p w14:paraId="1B819AA6">
      <w:pPr>
        <w:rPr>
          <w:highlight w:val="none"/>
        </w:rPr>
        <w:sectPr>
          <w:footerReference r:id="rId6" w:type="first"/>
          <w:headerReference r:id="rId4" w:type="default"/>
          <w:footerReference r:id="rId5" w:type="default"/>
          <w:pgSz w:w="11906" w:h="16838"/>
          <w:pgMar w:top="1440" w:right="1270" w:bottom="1440" w:left="1270" w:header="851" w:footer="992" w:gutter="0"/>
          <w:cols w:space="1701" w:num="1"/>
          <w:titlePg/>
          <w:docGrid w:linePitch="360" w:charSpace="0"/>
        </w:sectPr>
      </w:pPr>
      <w:r>
        <w:rPr>
          <w:highlight w:val="none"/>
        </w:rPr>
        <w:br w:type="page" w:clear="all"/>
      </w:r>
    </w:p>
    <w:p w14:paraId="114736DD">
      <w:pPr>
        <w:spacing w:line="300" w:lineRule="auto"/>
        <w:jc w:val="both"/>
        <w:rPr>
          <w:rFonts w:hint="default" w:ascii="华文细黑" w:hAnsi="华文细黑" w:eastAsia="华文细黑" w:cs="华文细黑"/>
          <w:b/>
          <w:bCs/>
          <w:sz w:val="24"/>
          <w:szCs w:val="24"/>
          <w:highlight w:val="none"/>
          <w:lang w:val="en-US" w:eastAsia="zh-CN"/>
        </w:rPr>
      </w:pPr>
      <w:r>
        <w:rPr>
          <w:rFonts w:hint="eastAsia" w:ascii="华文细黑" w:hAnsi="华文细黑" w:eastAsia="华文细黑" w:cs="华文细黑"/>
          <w:b/>
          <w:bCs/>
          <w:sz w:val="24"/>
          <w:szCs w:val="24"/>
          <w:highlight w:val="none"/>
          <w:lang w:val="en-US" w:eastAsia="zh-CN"/>
        </w:rPr>
        <w:t>附件1：</w:t>
      </w:r>
    </w:p>
    <w:p w14:paraId="2989CAF8">
      <w:pPr>
        <w:spacing w:line="300" w:lineRule="auto"/>
        <w:jc w:val="center"/>
        <w:rPr>
          <w:rFonts w:hint="default" w:ascii="华文细黑" w:hAnsi="华文细黑" w:eastAsia="华文细黑" w:cs="华文细黑"/>
          <w:b/>
          <w:bCs/>
          <w:sz w:val="24"/>
          <w:szCs w:val="24"/>
          <w:highlight w:val="none"/>
          <w:lang w:val="en-US" w:eastAsia="zh-CN"/>
        </w:rPr>
      </w:pPr>
      <w:r>
        <w:rPr>
          <w:rFonts w:hint="eastAsia" w:ascii="华文细黑" w:hAnsi="华文细黑" w:eastAsia="华文细黑" w:cs="华文细黑"/>
          <w:b/>
          <w:bCs/>
          <w:sz w:val="24"/>
          <w:szCs w:val="24"/>
          <w:highlight w:val="none"/>
          <w:lang w:val="en-US" w:eastAsia="zh-CN"/>
        </w:rPr>
        <w:t>高压配电房运维</w:t>
      </w:r>
      <w:r>
        <w:rPr>
          <w:rFonts w:hint="eastAsia" w:ascii="华文细黑" w:hAnsi="华文细黑" w:eastAsia="华文细黑" w:cs="华文细黑"/>
          <w:b/>
          <w:bCs/>
          <w:kern w:val="2"/>
          <w:sz w:val="24"/>
          <w:szCs w:val="24"/>
          <w:highlight w:val="none"/>
          <w:lang w:val="en-US" w:eastAsia="zh-CN" w:bidi="ar-SA"/>
        </w:rPr>
        <w:t>服务及</w:t>
      </w:r>
      <w:r>
        <w:rPr>
          <w:rFonts w:hint="default" w:ascii="华文细黑" w:hAnsi="华文细黑" w:eastAsia="华文细黑" w:cs="华文细黑"/>
          <w:b/>
          <w:bCs/>
          <w:kern w:val="2"/>
          <w:sz w:val="24"/>
          <w:szCs w:val="24"/>
          <w:highlight w:val="none"/>
          <w:lang w:val="en-US" w:eastAsia="zh-CN" w:bidi="ar-SA"/>
        </w:rPr>
        <w:t>10KV高压专线（双路）运维</w:t>
      </w:r>
      <w:r>
        <w:rPr>
          <w:rFonts w:hint="eastAsia" w:ascii="华文细黑" w:hAnsi="华文细黑" w:eastAsia="华文细黑" w:cs="华文细黑"/>
          <w:b/>
          <w:bCs/>
          <w:kern w:val="2"/>
          <w:sz w:val="24"/>
          <w:szCs w:val="24"/>
          <w:highlight w:val="none"/>
          <w:lang w:val="en-US" w:eastAsia="zh-CN" w:bidi="ar-SA"/>
        </w:rPr>
        <w:t>服务</w:t>
      </w:r>
      <w:r>
        <w:rPr>
          <w:rFonts w:hint="eastAsia" w:ascii="华文细黑" w:hAnsi="华文细黑" w:eastAsia="华文细黑" w:cs="华文细黑"/>
          <w:b/>
          <w:bCs/>
          <w:sz w:val="24"/>
          <w:szCs w:val="24"/>
          <w:highlight w:val="none"/>
          <w:lang w:val="en-US"/>
        </w:rPr>
        <w:t>质量月度考核表</w:t>
      </w:r>
    </w:p>
    <w:tbl>
      <w:tblPr>
        <w:tblStyle w:val="33"/>
        <w:tblpPr w:leftFromText="180" w:rightFromText="180" w:vertAnchor="text" w:horzAnchor="margin" w:tblpXSpec="center" w:tblpY="263"/>
        <w:tblW w:w="10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4131"/>
        <w:gridCol w:w="2263"/>
        <w:gridCol w:w="673"/>
        <w:gridCol w:w="673"/>
        <w:gridCol w:w="673"/>
        <w:gridCol w:w="676"/>
      </w:tblGrid>
      <w:tr w14:paraId="77BC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66" w:type="dxa"/>
            <w:tcBorders>
              <w:tl2br w:val="nil"/>
              <w:tr2bl w:val="nil"/>
            </w:tcBorders>
            <w:noWrap w:val="0"/>
            <w:vAlign w:val="center"/>
          </w:tcPr>
          <w:p w14:paraId="01FB22B6">
            <w:pPr>
              <w:spacing w:line="300" w:lineRule="auto"/>
              <w:jc w:val="center"/>
              <w:rPr>
                <w:rFonts w:hint="eastAsia" w:ascii="华文细黑" w:hAnsi="华文细黑" w:eastAsia="华文细黑" w:cs="华文细黑"/>
                <w:b/>
                <w:bCs/>
                <w:sz w:val="21"/>
                <w:szCs w:val="21"/>
                <w:highlight w:val="none"/>
              </w:rPr>
            </w:pPr>
            <w:r>
              <w:rPr>
                <w:rFonts w:hint="eastAsia" w:ascii="华文细黑" w:hAnsi="华文细黑" w:eastAsia="华文细黑" w:cs="华文细黑"/>
                <w:b/>
                <w:bCs/>
                <w:sz w:val="21"/>
                <w:szCs w:val="21"/>
                <w:highlight w:val="none"/>
              </w:rPr>
              <w:t>项目</w:t>
            </w:r>
          </w:p>
        </w:tc>
        <w:tc>
          <w:tcPr>
            <w:tcW w:w="4131" w:type="dxa"/>
            <w:tcBorders>
              <w:tl2br w:val="nil"/>
              <w:tr2bl w:val="nil"/>
            </w:tcBorders>
            <w:noWrap w:val="0"/>
            <w:vAlign w:val="center"/>
          </w:tcPr>
          <w:p w14:paraId="2807990C">
            <w:pPr>
              <w:spacing w:line="300" w:lineRule="auto"/>
              <w:jc w:val="center"/>
              <w:rPr>
                <w:rFonts w:hint="eastAsia" w:ascii="华文细黑" w:hAnsi="华文细黑" w:eastAsia="华文细黑" w:cs="华文细黑"/>
                <w:b/>
                <w:bCs/>
                <w:sz w:val="21"/>
                <w:szCs w:val="21"/>
                <w:highlight w:val="none"/>
              </w:rPr>
            </w:pPr>
            <w:r>
              <w:rPr>
                <w:rFonts w:hint="eastAsia" w:ascii="华文细黑" w:hAnsi="华文细黑" w:eastAsia="华文细黑" w:cs="华文细黑"/>
                <w:b/>
                <w:bCs/>
                <w:sz w:val="21"/>
                <w:szCs w:val="21"/>
                <w:highlight w:val="none"/>
              </w:rPr>
              <w:t>考核内容</w:t>
            </w:r>
          </w:p>
        </w:tc>
        <w:tc>
          <w:tcPr>
            <w:tcW w:w="2263" w:type="dxa"/>
            <w:tcBorders>
              <w:tl2br w:val="nil"/>
              <w:tr2bl w:val="nil"/>
            </w:tcBorders>
            <w:noWrap w:val="0"/>
            <w:vAlign w:val="center"/>
          </w:tcPr>
          <w:p w14:paraId="5323B37C">
            <w:pPr>
              <w:spacing w:line="300" w:lineRule="auto"/>
              <w:jc w:val="center"/>
              <w:rPr>
                <w:rFonts w:hint="eastAsia" w:ascii="华文细黑" w:hAnsi="华文细黑" w:eastAsia="华文细黑" w:cs="华文细黑"/>
                <w:b/>
                <w:bCs/>
                <w:sz w:val="21"/>
                <w:szCs w:val="21"/>
                <w:highlight w:val="none"/>
              </w:rPr>
            </w:pPr>
            <w:r>
              <w:rPr>
                <w:rFonts w:hint="eastAsia" w:ascii="华文细黑" w:hAnsi="华文细黑" w:eastAsia="华文细黑" w:cs="华文细黑"/>
                <w:b/>
                <w:bCs/>
                <w:sz w:val="21"/>
                <w:szCs w:val="21"/>
                <w:highlight w:val="none"/>
              </w:rPr>
              <w:t>考核细则</w:t>
            </w:r>
          </w:p>
        </w:tc>
        <w:tc>
          <w:tcPr>
            <w:tcW w:w="673" w:type="dxa"/>
            <w:tcBorders>
              <w:tl2br w:val="nil"/>
              <w:tr2bl w:val="nil"/>
            </w:tcBorders>
            <w:noWrap w:val="0"/>
            <w:vAlign w:val="center"/>
          </w:tcPr>
          <w:p w14:paraId="1FEAF525">
            <w:pPr>
              <w:spacing w:line="300" w:lineRule="auto"/>
              <w:jc w:val="center"/>
              <w:rPr>
                <w:rFonts w:hint="eastAsia" w:ascii="华文细黑" w:hAnsi="华文细黑" w:eastAsia="华文细黑" w:cs="华文细黑"/>
                <w:b/>
                <w:bCs/>
                <w:sz w:val="21"/>
                <w:szCs w:val="21"/>
                <w:highlight w:val="none"/>
              </w:rPr>
            </w:pPr>
            <w:r>
              <w:rPr>
                <w:rFonts w:hint="eastAsia" w:ascii="华文细黑" w:hAnsi="华文细黑" w:eastAsia="华文细黑" w:cs="华文细黑"/>
                <w:b/>
                <w:bCs/>
                <w:sz w:val="21"/>
                <w:szCs w:val="21"/>
                <w:highlight w:val="none"/>
              </w:rPr>
              <w:t>分值</w:t>
            </w:r>
          </w:p>
        </w:tc>
        <w:tc>
          <w:tcPr>
            <w:tcW w:w="673" w:type="dxa"/>
            <w:tcBorders>
              <w:tl2br w:val="nil"/>
              <w:tr2bl w:val="nil"/>
            </w:tcBorders>
            <w:noWrap w:val="0"/>
            <w:vAlign w:val="center"/>
          </w:tcPr>
          <w:p w14:paraId="1F0324CA">
            <w:pPr>
              <w:spacing w:line="300" w:lineRule="auto"/>
              <w:jc w:val="center"/>
              <w:rPr>
                <w:rFonts w:hint="eastAsia" w:ascii="华文细黑" w:hAnsi="华文细黑" w:eastAsia="华文细黑" w:cs="华文细黑"/>
                <w:b/>
                <w:bCs/>
                <w:sz w:val="21"/>
                <w:szCs w:val="21"/>
                <w:highlight w:val="none"/>
              </w:rPr>
            </w:pPr>
            <w:r>
              <w:rPr>
                <w:rFonts w:hint="eastAsia" w:ascii="华文细黑" w:hAnsi="华文细黑" w:eastAsia="华文细黑" w:cs="华文细黑"/>
                <w:b/>
                <w:bCs/>
                <w:sz w:val="21"/>
                <w:szCs w:val="21"/>
                <w:highlight w:val="none"/>
              </w:rPr>
              <w:t>扣分</w:t>
            </w:r>
          </w:p>
        </w:tc>
        <w:tc>
          <w:tcPr>
            <w:tcW w:w="673" w:type="dxa"/>
            <w:tcBorders>
              <w:tl2br w:val="nil"/>
              <w:tr2bl w:val="nil"/>
            </w:tcBorders>
            <w:noWrap w:val="0"/>
            <w:vAlign w:val="center"/>
          </w:tcPr>
          <w:p w14:paraId="4B9C53E0">
            <w:pPr>
              <w:spacing w:line="300" w:lineRule="auto"/>
              <w:jc w:val="center"/>
              <w:rPr>
                <w:rFonts w:hint="eastAsia" w:ascii="华文细黑" w:hAnsi="华文细黑" w:eastAsia="华文细黑" w:cs="华文细黑"/>
                <w:b/>
                <w:bCs/>
                <w:sz w:val="21"/>
                <w:szCs w:val="21"/>
                <w:highlight w:val="none"/>
              </w:rPr>
            </w:pPr>
            <w:r>
              <w:rPr>
                <w:rFonts w:hint="eastAsia" w:ascii="华文细黑" w:hAnsi="华文细黑" w:eastAsia="华文细黑" w:cs="华文细黑"/>
                <w:b/>
                <w:bCs/>
                <w:sz w:val="21"/>
                <w:szCs w:val="21"/>
                <w:highlight w:val="none"/>
              </w:rPr>
              <w:t>得分</w:t>
            </w:r>
          </w:p>
        </w:tc>
        <w:tc>
          <w:tcPr>
            <w:tcW w:w="676" w:type="dxa"/>
            <w:tcBorders>
              <w:tl2br w:val="nil"/>
              <w:tr2bl w:val="nil"/>
            </w:tcBorders>
            <w:noWrap w:val="0"/>
            <w:vAlign w:val="center"/>
          </w:tcPr>
          <w:p w14:paraId="76EF2996">
            <w:pPr>
              <w:spacing w:line="300" w:lineRule="auto"/>
              <w:jc w:val="center"/>
              <w:rPr>
                <w:rFonts w:hint="eastAsia" w:ascii="华文细黑" w:hAnsi="华文细黑" w:eastAsia="华文细黑" w:cs="华文细黑"/>
                <w:b/>
                <w:bCs/>
                <w:sz w:val="21"/>
                <w:szCs w:val="21"/>
                <w:highlight w:val="none"/>
              </w:rPr>
            </w:pPr>
            <w:r>
              <w:rPr>
                <w:rFonts w:hint="eastAsia" w:ascii="华文细黑" w:hAnsi="华文细黑" w:eastAsia="华文细黑" w:cs="华文细黑"/>
                <w:b/>
                <w:bCs/>
                <w:sz w:val="21"/>
                <w:szCs w:val="21"/>
                <w:highlight w:val="none"/>
              </w:rPr>
              <w:t>备注</w:t>
            </w:r>
          </w:p>
        </w:tc>
      </w:tr>
      <w:tr w14:paraId="1B57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exact"/>
          <w:jc w:val="center"/>
        </w:trPr>
        <w:tc>
          <w:tcPr>
            <w:tcW w:w="966" w:type="dxa"/>
            <w:vMerge w:val="restart"/>
            <w:tcBorders>
              <w:tl2br w:val="nil"/>
              <w:tr2bl w:val="nil"/>
            </w:tcBorders>
            <w:noWrap w:val="0"/>
            <w:vAlign w:val="center"/>
          </w:tcPr>
          <w:p w14:paraId="2C7F880E">
            <w:pPr>
              <w:spacing w:line="300" w:lineRule="auto"/>
              <w:jc w:val="center"/>
              <w:rPr>
                <w:rFonts w:hint="eastAsia" w:ascii="华文细黑" w:hAnsi="华文细黑" w:eastAsia="华文细黑" w:cs="华文细黑"/>
                <w:b/>
                <w:bCs/>
                <w:sz w:val="18"/>
                <w:szCs w:val="18"/>
                <w:highlight w:val="none"/>
              </w:rPr>
            </w:pPr>
            <w:r>
              <w:rPr>
                <w:rFonts w:hint="eastAsia" w:ascii="华文细黑" w:hAnsi="华文细黑" w:eastAsia="华文细黑" w:cs="华文细黑"/>
                <w:b/>
                <w:bCs/>
                <w:sz w:val="18"/>
                <w:szCs w:val="18"/>
                <w:highlight w:val="none"/>
              </w:rPr>
              <w:t>仪表、行为规范</w:t>
            </w:r>
          </w:p>
          <w:p w14:paraId="7EEA9570">
            <w:pPr>
              <w:spacing w:line="300" w:lineRule="auto"/>
              <w:jc w:val="center"/>
              <w:rPr>
                <w:rFonts w:hint="eastAsia" w:ascii="华文细黑" w:hAnsi="华文细黑" w:eastAsia="华文细黑" w:cs="华文细黑"/>
                <w:b/>
                <w:bCs/>
                <w:sz w:val="18"/>
                <w:szCs w:val="18"/>
                <w:highlight w:val="none"/>
              </w:rPr>
            </w:pPr>
            <w:r>
              <w:rPr>
                <w:rFonts w:hint="eastAsia" w:ascii="华文细黑" w:hAnsi="华文细黑" w:eastAsia="华文细黑" w:cs="华文细黑"/>
                <w:b/>
                <w:bCs/>
                <w:sz w:val="18"/>
                <w:szCs w:val="18"/>
                <w:highlight w:val="none"/>
                <w:lang w:val="en-US"/>
              </w:rPr>
              <w:t>(</w:t>
            </w:r>
            <w:r>
              <w:rPr>
                <w:rFonts w:hint="eastAsia" w:ascii="华文细黑" w:hAnsi="华文细黑" w:eastAsia="华文细黑" w:cs="华文细黑"/>
                <w:b/>
                <w:bCs/>
                <w:sz w:val="18"/>
                <w:szCs w:val="18"/>
                <w:highlight w:val="none"/>
                <w:lang w:val="en-US" w:eastAsia="zh-CN"/>
              </w:rPr>
              <w:t>22</w:t>
            </w:r>
            <w:r>
              <w:rPr>
                <w:rFonts w:hint="eastAsia" w:ascii="华文细黑" w:hAnsi="华文细黑" w:eastAsia="华文细黑" w:cs="华文细黑"/>
                <w:b/>
                <w:bCs/>
                <w:sz w:val="18"/>
                <w:szCs w:val="18"/>
                <w:highlight w:val="none"/>
                <w:lang w:val="en-US"/>
              </w:rPr>
              <w:t>分)</w:t>
            </w:r>
          </w:p>
          <w:p w14:paraId="7FA86E70">
            <w:pPr>
              <w:spacing w:line="300" w:lineRule="auto"/>
              <w:rPr>
                <w:rFonts w:hint="eastAsia" w:ascii="华文细黑" w:hAnsi="华文细黑" w:eastAsia="华文细黑" w:cs="华文细黑"/>
                <w:b/>
                <w:bCs/>
                <w:sz w:val="18"/>
                <w:szCs w:val="18"/>
                <w:highlight w:val="none"/>
              </w:rPr>
            </w:pPr>
          </w:p>
          <w:p w14:paraId="2232D286">
            <w:pPr>
              <w:spacing w:line="300" w:lineRule="auto"/>
              <w:rPr>
                <w:rFonts w:hint="eastAsia" w:ascii="华文细黑" w:hAnsi="华文细黑" w:eastAsia="华文细黑" w:cs="华文细黑"/>
                <w:b/>
                <w:bCs/>
                <w:sz w:val="18"/>
                <w:szCs w:val="18"/>
                <w:highlight w:val="none"/>
              </w:rPr>
            </w:pPr>
          </w:p>
          <w:p w14:paraId="40A8075C">
            <w:pPr>
              <w:spacing w:line="300" w:lineRule="auto"/>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5F06F9AA">
            <w:pPr>
              <w:spacing w:line="300" w:lineRule="auto"/>
              <w:jc w:val="left"/>
              <w:rPr>
                <w:rFonts w:hint="default" w:ascii="华文细黑" w:hAnsi="华文细黑" w:eastAsia="华文细黑" w:cs="华文细黑"/>
                <w:b/>
                <w:bCs/>
                <w:sz w:val="21"/>
                <w:szCs w:val="21"/>
                <w:highlight w:val="none"/>
                <w:lang w:val="en-US" w:eastAsia="zh-CN"/>
              </w:rPr>
            </w:pPr>
            <w:r>
              <w:rPr>
                <w:rFonts w:hint="eastAsia" w:ascii="华文细黑" w:hAnsi="华文细黑" w:eastAsia="华文细黑" w:cs="华文细黑"/>
                <w:sz w:val="13"/>
                <w:szCs w:val="13"/>
                <w:highlight w:val="none"/>
                <w:lang w:val="en-US" w:eastAsia="zh-CN"/>
              </w:rPr>
              <w:t>工作人员资质符合招标文件要求，能满足及配合工作需求</w:t>
            </w:r>
          </w:p>
        </w:tc>
        <w:tc>
          <w:tcPr>
            <w:tcW w:w="2263" w:type="dxa"/>
            <w:tcBorders>
              <w:tl2br w:val="nil"/>
              <w:tr2bl w:val="nil"/>
            </w:tcBorders>
            <w:noWrap w:val="0"/>
            <w:vAlign w:val="center"/>
          </w:tcPr>
          <w:p w14:paraId="294F9591">
            <w:pPr>
              <w:spacing w:line="240" w:lineRule="auto"/>
              <w:jc w:val="center"/>
              <w:rPr>
                <w:rFonts w:hint="eastAsia" w:ascii="华文细黑" w:hAnsi="华文细黑" w:eastAsia="华文细黑" w:cs="华文细黑"/>
                <w:b/>
                <w:bCs/>
                <w:kern w:val="2"/>
                <w:sz w:val="13"/>
                <w:szCs w:val="13"/>
                <w:highlight w:val="none"/>
                <w:lang w:val="en-US" w:eastAsia="zh-CN" w:bidi="ar-SA"/>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10</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68691735">
            <w:pPr>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10</w:t>
            </w:r>
          </w:p>
        </w:tc>
        <w:tc>
          <w:tcPr>
            <w:tcW w:w="673" w:type="dxa"/>
            <w:tcBorders>
              <w:tl2br w:val="nil"/>
              <w:tr2bl w:val="nil"/>
            </w:tcBorders>
            <w:noWrap w:val="0"/>
            <w:vAlign w:val="center"/>
          </w:tcPr>
          <w:p w14:paraId="79F0C7CE">
            <w:pPr>
              <w:spacing w:line="240" w:lineRule="auto"/>
              <w:jc w:val="center"/>
              <w:rPr>
                <w:rFonts w:hint="eastAsia" w:ascii="华文细黑" w:hAnsi="华文细黑" w:eastAsia="华文细黑" w:cs="华文细黑"/>
                <w:b/>
                <w:bCs/>
                <w:sz w:val="13"/>
                <w:szCs w:val="13"/>
                <w:highlight w:val="none"/>
                <w:lang w:val="en-US" w:eastAsia="zh-CN"/>
              </w:rPr>
            </w:pPr>
          </w:p>
        </w:tc>
        <w:tc>
          <w:tcPr>
            <w:tcW w:w="673" w:type="dxa"/>
            <w:tcBorders>
              <w:tl2br w:val="nil"/>
              <w:tr2bl w:val="nil"/>
            </w:tcBorders>
            <w:noWrap w:val="0"/>
            <w:vAlign w:val="center"/>
          </w:tcPr>
          <w:p w14:paraId="1292AFD7">
            <w:pPr>
              <w:spacing w:line="300" w:lineRule="auto"/>
              <w:jc w:val="center"/>
              <w:rPr>
                <w:rFonts w:hint="eastAsia" w:ascii="华文细黑" w:hAnsi="华文细黑" w:eastAsia="华文细黑" w:cs="华文细黑"/>
                <w:b/>
                <w:bCs/>
                <w:sz w:val="21"/>
                <w:szCs w:val="21"/>
                <w:highlight w:val="none"/>
              </w:rPr>
            </w:pPr>
          </w:p>
        </w:tc>
        <w:tc>
          <w:tcPr>
            <w:tcW w:w="676" w:type="dxa"/>
            <w:tcBorders>
              <w:tl2br w:val="nil"/>
              <w:tr2bl w:val="nil"/>
            </w:tcBorders>
            <w:noWrap w:val="0"/>
            <w:vAlign w:val="center"/>
          </w:tcPr>
          <w:p w14:paraId="08A4197E">
            <w:pPr>
              <w:spacing w:line="300" w:lineRule="auto"/>
              <w:jc w:val="center"/>
              <w:rPr>
                <w:rFonts w:hint="eastAsia" w:ascii="华文细黑" w:hAnsi="华文细黑" w:eastAsia="华文细黑" w:cs="华文细黑"/>
                <w:b/>
                <w:bCs/>
                <w:sz w:val="21"/>
                <w:szCs w:val="21"/>
                <w:highlight w:val="none"/>
              </w:rPr>
            </w:pPr>
          </w:p>
        </w:tc>
      </w:tr>
      <w:tr w14:paraId="19EB2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exact"/>
          <w:jc w:val="center"/>
        </w:trPr>
        <w:tc>
          <w:tcPr>
            <w:tcW w:w="966" w:type="dxa"/>
            <w:vMerge w:val="continue"/>
            <w:tcBorders>
              <w:tl2br w:val="nil"/>
              <w:tr2bl w:val="nil"/>
            </w:tcBorders>
            <w:noWrap w:val="0"/>
            <w:vAlign w:val="center"/>
          </w:tcPr>
          <w:p w14:paraId="5E7F847A">
            <w:pPr>
              <w:spacing w:line="300" w:lineRule="auto"/>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0A92F32C">
            <w:pPr>
              <w:snapToGrid w:val="0"/>
              <w:spacing w:line="240" w:lineRule="auto"/>
              <w:jc w:val="both"/>
              <w:rPr>
                <w:rFonts w:hint="eastAsia" w:ascii="华文细黑" w:hAnsi="华文细黑" w:eastAsia="华文细黑" w:cs="华文细黑"/>
                <w:sz w:val="13"/>
                <w:szCs w:val="13"/>
                <w:highlight w:val="none"/>
              </w:rPr>
            </w:pPr>
            <w:r>
              <w:rPr>
                <w:rFonts w:hint="eastAsia" w:ascii="华文细黑" w:hAnsi="华文细黑" w:eastAsia="华文细黑" w:cs="华文细黑"/>
                <w:sz w:val="13"/>
                <w:szCs w:val="13"/>
                <w:highlight w:val="none"/>
              </w:rPr>
              <w:t>仪表端正、挂牌上岗</w:t>
            </w:r>
          </w:p>
        </w:tc>
        <w:tc>
          <w:tcPr>
            <w:tcW w:w="2263" w:type="dxa"/>
            <w:tcBorders>
              <w:tl2br w:val="nil"/>
              <w:tr2bl w:val="nil"/>
            </w:tcBorders>
            <w:noWrap w:val="0"/>
            <w:vAlign w:val="center"/>
          </w:tcPr>
          <w:p w14:paraId="54D6EC72">
            <w:pPr>
              <w:spacing w:line="240" w:lineRule="auto"/>
              <w:jc w:val="center"/>
              <w:rPr>
                <w:rFonts w:hint="eastAsia" w:ascii="华文细黑" w:hAnsi="华文细黑" w:eastAsia="华文细黑" w:cs="华文细黑"/>
                <w:kern w:val="2"/>
                <w:sz w:val="13"/>
                <w:szCs w:val="13"/>
                <w:highlight w:val="none"/>
                <w:lang w:val="en-US" w:eastAsia="zh-CN" w:bidi="ar-SA"/>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50EE7F72">
            <w:pPr>
              <w:spacing w:line="240" w:lineRule="auto"/>
              <w:jc w:val="center"/>
              <w:rPr>
                <w:rFonts w:hint="eastAsia"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123CD32F">
            <w:pPr>
              <w:spacing w:line="240" w:lineRule="auto"/>
              <w:jc w:val="center"/>
              <w:rPr>
                <w:rFonts w:hint="eastAsia" w:ascii="华文细黑" w:hAnsi="华文细黑" w:eastAsia="华文细黑" w:cs="华文细黑"/>
                <w:b/>
                <w:bCs/>
                <w:sz w:val="13"/>
                <w:szCs w:val="13"/>
                <w:highlight w:val="none"/>
                <w:lang w:val="en-US" w:eastAsia="zh-CN"/>
              </w:rPr>
            </w:pPr>
          </w:p>
        </w:tc>
        <w:tc>
          <w:tcPr>
            <w:tcW w:w="673" w:type="dxa"/>
            <w:tcBorders>
              <w:tl2br w:val="nil"/>
              <w:tr2bl w:val="nil"/>
            </w:tcBorders>
            <w:noWrap w:val="0"/>
            <w:vAlign w:val="center"/>
          </w:tcPr>
          <w:p w14:paraId="47FCEB4C">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10489CB8">
            <w:pPr>
              <w:widowControl/>
              <w:spacing w:line="300" w:lineRule="auto"/>
              <w:rPr>
                <w:rFonts w:hint="eastAsia" w:ascii="华文细黑" w:hAnsi="华文细黑" w:eastAsia="华文细黑" w:cs="华文细黑"/>
                <w:sz w:val="21"/>
                <w:szCs w:val="21"/>
                <w:highlight w:val="none"/>
              </w:rPr>
            </w:pPr>
          </w:p>
        </w:tc>
      </w:tr>
      <w:tr w14:paraId="3716B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exact"/>
          <w:jc w:val="center"/>
        </w:trPr>
        <w:tc>
          <w:tcPr>
            <w:tcW w:w="966" w:type="dxa"/>
            <w:vMerge w:val="continue"/>
            <w:tcBorders>
              <w:tl2br w:val="nil"/>
              <w:tr2bl w:val="nil"/>
            </w:tcBorders>
            <w:noWrap w:val="0"/>
            <w:vAlign w:val="center"/>
          </w:tcPr>
          <w:p w14:paraId="26214539">
            <w:pPr>
              <w:spacing w:line="300" w:lineRule="auto"/>
              <w:rPr>
                <w:rFonts w:hint="eastAsia" w:ascii="华文细黑" w:hAnsi="华文细黑" w:eastAsia="华文细黑" w:cs="华文细黑"/>
                <w:b/>
                <w:bCs/>
                <w:sz w:val="15"/>
                <w:szCs w:val="15"/>
                <w:highlight w:val="none"/>
              </w:rPr>
            </w:pPr>
          </w:p>
        </w:tc>
        <w:tc>
          <w:tcPr>
            <w:tcW w:w="4131" w:type="dxa"/>
            <w:tcBorders>
              <w:tl2br w:val="nil"/>
              <w:tr2bl w:val="nil"/>
            </w:tcBorders>
            <w:noWrap w:val="0"/>
            <w:vAlign w:val="center"/>
          </w:tcPr>
          <w:p w14:paraId="1517918F">
            <w:pPr>
              <w:snapToGrid w:val="0"/>
              <w:spacing w:line="240" w:lineRule="auto"/>
              <w:jc w:val="both"/>
              <w:rPr>
                <w:rFonts w:hint="eastAsia" w:ascii="华文细黑" w:hAnsi="华文细黑" w:eastAsia="华文细黑" w:cs="华文细黑"/>
                <w:sz w:val="13"/>
                <w:szCs w:val="13"/>
                <w:highlight w:val="none"/>
              </w:rPr>
            </w:pPr>
            <w:r>
              <w:rPr>
                <w:rFonts w:hint="eastAsia" w:ascii="华文细黑" w:hAnsi="华文细黑" w:eastAsia="华文细黑" w:cs="华文细黑"/>
                <w:sz w:val="13"/>
                <w:szCs w:val="13"/>
                <w:highlight w:val="none"/>
              </w:rPr>
              <w:t>不穿拖鞋，</w:t>
            </w:r>
            <w:r>
              <w:rPr>
                <w:rFonts w:hint="eastAsia" w:ascii="华文细黑" w:hAnsi="华文细黑" w:eastAsia="华文细黑" w:cs="华文细黑"/>
                <w:sz w:val="13"/>
                <w:szCs w:val="13"/>
                <w:highlight w:val="none"/>
                <w:lang w:val="en-US"/>
              </w:rPr>
              <w:t>不在医疗场所大声喧哗</w:t>
            </w:r>
          </w:p>
        </w:tc>
        <w:tc>
          <w:tcPr>
            <w:tcW w:w="2263" w:type="dxa"/>
            <w:tcBorders>
              <w:tl2br w:val="nil"/>
              <w:tr2bl w:val="nil"/>
            </w:tcBorders>
            <w:noWrap w:val="0"/>
            <w:vAlign w:val="center"/>
          </w:tcPr>
          <w:p w14:paraId="78B9CD35">
            <w:pPr>
              <w:spacing w:line="240" w:lineRule="auto"/>
              <w:jc w:val="center"/>
              <w:rPr>
                <w:rFonts w:hint="eastAsia" w:ascii="华文细黑" w:hAnsi="华文细黑" w:eastAsia="华文细黑" w:cs="华文细黑"/>
                <w:kern w:val="2"/>
                <w:sz w:val="13"/>
                <w:szCs w:val="13"/>
                <w:highlight w:val="none"/>
                <w:lang w:val="en-US" w:eastAsia="zh-CN" w:bidi="ar-SA"/>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6949E53E">
            <w:pPr>
              <w:spacing w:line="240" w:lineRule="auto"/>
              <w:jc w:val="center"/>
              <w:rPr>
                <w:rFonts w:hint="eastAsia"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2E9AD7C5">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7C3B8685">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332E8ECE">
            <w:pPr>
              <w:widowControl/>
              <w:spacing w:line="300" w:lineRule="auto"/>
              <w:rPr>
                <w:rFonts w:hint="eastAsia" w:ascii="华文细黑" w:hAnsi="华文细黑" w:eastAsia="华文细黑" w:cs="华文细黑"/>
                <w:sz w:val="21"/>
                <w:szCs w:val="21"/>
                <w:highlight w:val="none"/>
              </w:rPr>
            </w:pPr>
          </w:p>
        </w:tc>
      </w:tr>
      <w:tr w14:paraId="1C85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exact"/>
          <w:jc w:val="center"/>
        </w:trPr>
        <w:tc>
          <w:tcPr>
            <w:tcW w:w="966" w:type="dxa"/>
            <w:vMerge w:val="continue"/>
            <w:tcBorders>
              <w:tl2br w:val="nil"/>
              <w:tr2bl w:val="nil"/>
            </w:tcBorders>
            <w:noWrap w:val="0"/>
            <w:vAlign w:val="center"/>
          </w:tcPr>
          <w:p w14:paraId="569A95AE">
            <w:pPr>
              <w:spacing w:line="300" w:lineRule="auto"/>
              <w:rPr>
                <w:rFonts w:hint="eastAsia" w:ascii="华文细黑" w:hAnsi="华文细黑" w:eastAsia="华文细黑" w:cs="华文细黑"/>
                <w:b/>
                <w:bCs/>
                <w:sz w:val="15"/>
                <w:szCs w:val="15"/>
                <w:highlight w:val="none"/>
              </w:rPr>
            </w:pPr>
          </w:p>
        </w:tc>
        <w:tc>
          <w:tcPr>
            <w:tcW w:w="4131" w:type="dxa"/>
            <w:tcBorders>
              <w:tl2br w:val="nil"/>
              <w:tr2bl w:val="nil"/>
            </w:tcBorders>
            <w:noWrap w:val="0"/>
            <w:vAlign w:val="center"/>
          </w:tcPr>
          <w:p w14:paraId="5D0EA129">
            <w:pPr>
              <w:snapToGrid w:val="0"/>
              <w:spacing w:line="240" w:lineRule="auto"/>
              <w:jc w:val="both"/>
              <w:rPr>
                <w:rFonts w:hint="eastAsia" w:ascii="华文细黑" w:hAnsi="华文细黑" w:eastAsia="华文细黑" w:cs="华文细黑"/>
                <w:sz w:val="13"/>
                <w:szCs w:val="13"/>
                <w:highlight w:val="none"/>
              </w:rPr>
            </w:pPr>
            <w:r>
              <w:rPr>
                <w:rFonts w:hint="eastAsia" w:ascii="华文细黑" w:hAnsi="华文细黑" w:eastAsia="华文细黑" w:cs="华文细黑"/>
                <w:sz w:val="13"/>
                <w:szCs w:val="13"/>
                <w:highlight w:val="none"/>
              </w:rPr>
              <w:t>服务举止得体</w:t>
            </w:r>
            <w:r>
              <w:rPr>
                <w:rFonts w:hint="eastAsia" w:ascii="华文细黑" w:hAnsi="华文细黑" w:eastAsia="华文细黑" w:cs="华文细黑"/>
                <w:sz w:val="13"/>
                <w:szCs w:val="13"/>
                <w:highlight w:val="none"/>
                <w:lang w:val="en-US"/>
              </w:rPr>
              <w:t>，文明礼貌，不讲脏话、粗话、服务忌语</w:t>
            </w:r>
          </w:p>
        </w:tc>
        <w:tc>
          <w:tcPr>
            <w:tcW w:w="2263" w:type="dxa"/>
            <w:tcBorders>
              <w:tl2br w:val="nil"/>
              <w:tr2bl w:val="nil"/>
            </w:tcBorders>
            <w:noWrap w:val="0"/>
            <w:vAlign w:val="center"/>
          </w:tcPr>
          <w:p w14:paraId="5A297EDB">
            <w:pPr>
              <w:spacing w:line="240" w:lineRule="auto"/>
              <w:jc w:val="center"/>
              <w:rPr>
                <w:rFonts w:hint="eastAsia" w:ascii="华文细黑" w:hAnsi="华文细黑" w:eastAsia="华文细黑" w:cs="华文细黑"/>
                <w:kern w:val="2"/>
                <w:sz w:val="13"/>
                <w:szCs w:val="13"/>
                <w:highlight w:val="none"/>
                <w:lang w:val="en-US" w:eastAsia="zh-CN" w:bidi="ar-SA"/>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48FD2298">
            <w:pPr>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041E059A">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3C5BE4A2">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6C4F7510">
            <w:pPr>
              <w:widowControl/>
              <w:spacing w:line="300" w:lineRule="auto"/>
              <w:rPr>
                <w:rFonts w:hint="eastAsia" w:ascii="华文细黑" w:hAnsi="华文细黑" w:eastAsia="华文细黑" w:cs="华文细黑"/>
                <w:sz w:val="21"/>
                <w:szCs w:val="21"/>
                <w:highlight w:val="none"/>
              </w:rPr>
            </w:pPr>
          </w:p>
        </w:tc>
      </w:tr>
      <w:tr w14:paraId="4007D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exact"/>
          <w:jc w:val="center"/>
        </w:trPr>
        <w:tc>
          <w:tcPr>
            <w:tcW w:w="966" w:type="dxa"/>
            <w:vMerge w:val="continue"/>
            <w:tcBorders>
              <w:tl2br w:val="nil"/>
              <w:tr2bl w:val="nil"/>
            </w:tcBorders>
            <w:noWrap w:val="0"/>
            <w:vAlign w:val="center"/>
          </w:tcPr>
          <w:p w14:paraId="5E517016">
            <w:pPr>
              <w:spacing w:line="300" w:lineRule="auto"/>
              <w:rPr>
                <w:rFonts w:hint="eastAsia" w:ascii="华文细黑" w:hAnsi="华文细黑" w:eastAsia="华文细黑" w:cs="华文细黑"/>
                <w:b/>
                <w:bCs/>
                <w:sz w:val="15"/>
                <w:szCs w:val="15"/>
                <w:highlight w:val="none"/>
              </w:rPr>
            </w:pPr>
          </w:p>
        </w:tc>
        <w:tc>
          <w:tcPr>
            <w:tcW w:w="4131" w:type="dxa"/>
            <w:tcBorders>
              <w:tl2br w:val="nil"/>
              <w:tr2bl w:val="nil"/>
            </w:tcBorders>
            <w:noWrap w:val="0"/>
            <w:vAlign w:val="center"/>
          </w:tcPr>
          <w:p w14:paraId="1E356BCE">
            <w:pPr>
              <w:snapToGrid w:val="0"/>
              <w:spacing w:line="240" w:lineRule="auto"/>
              <w:jc w:val="both"/>
              <w:rPr>
                <w:rFonts w:hint="eastAsia" w:ascii="华文细黑" w:hAnsi="华文细黑" w:eastAsia="华文细黑" w:cs="华文细黑"/>
                <w:sz w:val="13"/>
                <w:szCs w:val="13"/>
                <w:highlight w:val="none"/>
              </w:rPr>
            </w:pPr>
            <w:r>
              <w:rPr>
                <w:rFonts w:hint="eastAsia" w:ascii="华文细黑" w:hAnsi="华文细黑" w:eastAsia="华文细黑" w:cs="华文细黑"/>
                <w:sz w:val="13"/>
                <w:szCs w:val="13"/>
                <w:highlight w:val="none"/>
                <w:lang w:val="en-US"/>
              </w:rPr>
              <w:t>在检查中，不被院领导或大会点名批评</w:t>
            </w:r>
          </w:p>
        </w:tc>
        <w:tc>
          <w:tcPr>
            <w:tcW w:w="2263" w:type="dxa"/>
            <w:tcBorders>
              <w:tl2br w:val="nil"/>
              <w:tr2bl w:val="nil"/>
            </w:tcBorders>
            <w:noWrap w:val="0"/>
            <w:vAlign w:val="center"/>
          </w:tcPr>
          <w:p w14:paraId="2370FE97">
            <w:pPr>
              <w:spacing w:line="240" w:lineRule="auto"/>
              <w:jc w:val="center"/>
              <w:rPr>
                <w:rFonts w:hint="eastAsia" w:ascii="华文细黑" w:hAnsi="华文细黑" w:eastAsia="华文细黑" w:cs="华文细黑"/>
                <w:sz w:val="13"/>
                <w:szCs w:val="13"/>
                <w:highlight w:val="none"/>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2B3F13A8">
            <w:pPr>
              <w:spacing w:line="240" w:lineRule="auto"/>
              <w:jc w:val="center"/>
              <w:rPr>
                <w:rFonts w:hint="eastAsia"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62624EBB">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352E73BE">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3B0AD0A8">
            <w:pPr>
              <w:widowControl/>
              <w:spacing w:line="300" w:lineRule="auto"/>
              <w:rPr>
                <w:rFonts w:hint="eastAsia" w:ascii="华文细黑" w:hAnsi="华文细黑" w:eastAsia="华文细黑" w:cs="华文细黑"/>
                <w:sz w:val="21"/>
                <w:szCs w:val="21"/>
                <w:highlight w:val="none"/>
              </w:rPr>
            </w:pPr>
          </w:p>
        </w:tc>
      </w:tr>
      <w:tr w14:paraId="4EFD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exact"/>
          <w:jc w:val="center"/>
        </w:trPr>
        <w:tc>
          <w:tcPr>
            <w:tcW w:w="966" w:type="dxa"/>
            <w:vMerge w:val="continue"/>
            <w:tcBorders>
              <w:tl2br w:val="nil"/>
              <w:tr2bl w:val="nil"/>
            </w:tcBorders>
            <w:noWrap w:val="0"/>
            <w:vAlign w:val="center"/>
          </w:tcPr>
          <w:p w14:paraId="00152D1D">
            <w:pPr>
              <w:spacing w:line="300" w:lineRule="auto"/>
              <w:rPr>
                <w:rFonts w:hint="eastAsia" w:ascii="华文细黑" w:hAnsi="华文细黑" w:eastAsia="华文细黑" w:cs="华文细黑"/>
                <w:b/>
                <w:bCs/>
                <w:sz w:val="15"/>
                <w:szCs w:val="15"/>
                <w:highlight w:val="none"/>
              </w:rPr>
            </w:pPr>
          </w:p>
        </w:tc>
        <w:tc>
          <w:tcPr>
            <w:tcW w:w="4131" w:type="dxa"/>
            <w:tcBorders>
              <w:tl2br w:val="nil"/>
              <w:tr2bl w:val="nil"/>
            </w:tcBorders>
            <w:noWrap w:val="0"/>
            <w:vAlign w:val="center"/>
          </w:tcPr>
          <w:p w14:paraId="5D304D93">
            <w:pPr>
              <w:spacing w:line="300" w:lineRule="auto"/>
              <w:jc w:val="left"/>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eastAsia="zh-CN"/>
              </w:rPr>
              <w:t>严格执行国家电力行业相关规范</w:t>
            </w:r>
          </w:p>
        </w:tc>
        <w:tc>
          <w:tcPr>
            <w:tcW w:w="2263" w:type="dxa"/>
            <w:tcBorders>
              <w:tl2br w:val="nil"/>
              <w:tr2bl w:val="nil"/>
            </w:tcBorders>
            <w:noWrap w:val="0"/>
            <w:vAlign w:val="center"/>
          </w:tcPr>
          <w:p w14:paraId="686FE9EF">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5F57107E">
            <w:pPr>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73D21B05">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579A4859">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35005174">
            <w:pPr>
              <w:widowControl/>
              <w:spacing w:line="300" w:lineRule="auto"/>
              <w:rPr>
                <w:rFonts w:hint="eastAsia" w:ascii="华文细黑" w:hAnsi="华文细黑" w:eastAsia="华文细黑" w:cs="华文细黑"/>
                <w:sz w:val="21"/>
                <w:szCs w:val="21"/>
                <w:highlight w:val="none"/>
              </w:rPr>
            </w:pPr>
          </w:p>
        </w:tc>
      </w:tr>
      <w:tr w14:paraId="74F2A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exact"/>
          <w:jc w:val="center"/>
        </w:trPr>
        <w:tc>
          <w:tcPr>
            <w:tcW w:w="966" w:type="dxa"/>
            <w:vMerge w:val="continue"/>
            <w:tcBorders>
              <w:tl2br w:val="nil"/>
              <w:tr2bl w:val="nil"/>
            </w:tcBorders>
            <w:noWrap w:val="0"/>
            <w:vAlign w:val="center"/>
          </w:tcPr>
          <w:p w14:paraId="443A7C08">
            <w:pPr>
              <w:spacing w:line="300" w:lineRule="auto"/>
              <w:rPr>
                <w:rFonts w:hint="eastAsia" w:ascii="华文细黑" w:hAnsi="华文细黑" w:eastAsia="华文细黑" w:cs="华文细黑"/>
                <w:b/>
                <w:bCs/>
                <w:sz w:val="15"/>
                <w:szCs w:val="15"/>
                <w:highlight w:val="none"/>
              </w:rPr>
            </w:pPr>
          </w:p>
        </w:tc>
        <w:tc>
          <w:tcPr>
            <w:tcW w:w="4131" w:type="dxa"/>
            <w:tcBorders>
              <w:tl2br w:val="nil"/>
              <w:tr2bl w:val="nil"/>
            </w:tcBorders>
            <w:noWrap w:val="0"/>
            <w:vAlign w:val="center"/>
          </w:tcPr>
          <w:p w14:paraId="63E7FF15">
            <w:pPr>
              <w:spacing w:line="300" w:lineRule="auto"/>
              <w:jc w:val="left"/>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eastAsia="zh-CN"/>
              </w:rPr>
              <w:t>维保方应指定巡线人员与院方对接</w:t>
            </w:r>
          </w:p>
        </w:tc>
        <w:tc>
          <w:tcPr>
            <w:tcW w:w="2263" w:type="dxa"/>
            <w:tcBorders>
              <w:tl2br w:val="nil"/>
              <w:tr2bl w:val="nil"/>
            </w:tcBorders>
            <w:noWrap w:val="0"/>
            <w:vAlign w:val="center"/>
          </w:tcPr>
          <w:p w14:paraId="52E8EBD2">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60BA2688">
            <w:pPr>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78D414F3">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72AEEE66">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0BE550E9">
            <w:pPr>
              <w:widowControl/>
              <w:spacing w:line="300" w:lineRule="auto"/>
              <w:rPr>
                <w:rFonts w:hint="eastAsia" w:ascii="华文细黑" w:hAnsi="华文细黑" w:eastAsia="华文细黑" w:cs="华文细黑"/>
                <w:sz w:val="21"/>
                <w:szCs w:val="21"/>
                <w:highlight w:val="none"/>
              </w:rPr>
            </w:pPr>
          </w:p>
        </w:tc>
      </w:tr>
      <w:tr w14:paraId="0DDD0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exact"/>
          <w:jc w:val="center"/>
        </w:trPr>
        <w:tc>
          <w:tcPr>
            <w:tcW w:w="966" w:type="dxa"/>
            <w:vMerge w:val="restart"/>
            <w:tcBorders>
              <w:tl2br w:val="nil"/>
              <w:tr2bl w:val="nil"/>
            </w:tcBorders>
            <w:noWrap w:val="0"/>
            <w:vAlign w:val="center"/>
          </w:tcPr>
          <w:p w14:paraId="406B2D95">
            <w:pPr>
              <w:spacing w:line="300" w:lineRule="auto"/>
              <w:jc w:val="center"/>
              <w:rPr>
                <w:rFonts w:hint="eastAsia" w:ascii="华文细黑" w:hAnsi="华文细黑" w:eastAsia="华文细黑" w:cs="华文细黑"/>
                <w:b/>
                <w:bCs/>
                <w:sz w:val="18"/>
                <w:szCs w:val="18"/>
                <w:highlight w:val="none"/>
                <w:lang w:val="en-US"/>
              </w:rPr>
            </w:pPr>
            <w:r>
              <w:rPr>
                <w:rFonts w:hint="eastAsia" w:ascii="华文细黑" w:hAnsi="华文细黑" w:eastAsia="华文细黑" w:cs="华文细黑"/>
                <w:b/>
                <w:bCs/>
                <w:sz w:val="18"/>
                <w:szCs w:val="18"/>
                <w:highlight w:val="none"/>
                <w:lang w:val="en-US"/>
              </w:rPr>
              <w:t>劳动纪律</w:t>
            </w:r>
          </w:p>
          <w:p w14:paraId="5506053F">
            <w:pPr>
              <w:spacing w:line="300" w:lineRule="auto"/>
              <w:jc w:val="center"/>
              <w:rPr>
                <w:rFonts w:hint="eastAsia" w:ascii="华文细黑" w:hAnsi="华文细黑" w:eastAsia="华文细黑" w:cs="华文细黑"/>
                <w:b/>
                <w:bCs/>
                <w:sz w:val="15"/>
                <w:szCs w:val="15"/>
                <w:highlight w:val="none"/>
              </w:rPr>
            </w:pPr>
            <w:r>
              <w:rPr>
                <w:rFonts w:hint="eastAsia" w:ascii="华文细黑" w:hAnsi="华文细黑" w:eastAsia="华文细黑" w:cs="华文细黑"/>
                <w:b/>
                <w:bCs/>
                <w:sz w:val="18"/>
                <w:szCs w:val="18"/>
                <w:highlight w:val="none"/>
                <w:lang w:val="en-US"/>
              </w:rPr>
              <w:t>(</w:t>
            </w:r>
            <w:r>
              <w:rPr>
                <w:rFonts w:hint="eastAsia" w:ascii="华文细黑" w:hAnsi="华文细黑" w:eastAsia="华文细黑" w:cs="华文细黑"/>
                <w:b/>
                <w:bCs/>
                <w:sz w:val="18"/>
                <w:szCs w:val="18"/>
                <w:highlight w:val="none"/>
                <w:lang w:val="en-US" w:eastAsia="zh-CN"/>
              </w:rPr>
              <w:t>10</w:t>
            </w:r>
            <w:r>
              <w:rPr>
                <w:rFonts w:hint="eastAsia" w:ascii="华文细黑" w:hAnsi="华文细黑" w:eastAsia="华文细黑" w:cs="华文细黑"/>
                <w:b/>
                <w:bCs/>
                <w:sz w:val="18"/>
                <w:szCs w:val="18"/>
                <w:highlight w:val="none"/>
                <w:lang w:val="en-US"/>
              </w:rPr>
              <w:t>分)</w:t>
            </w:r>
          </w:p>
        </w:tc>
        <w:tc>
          <w:tcPr>
            <w:tcW w:w="4131" w:type="dxa"/>
            <w:tcBorders>
              <w:tl2br w:val="nil"/>
              <w:tr2bl w:val="nil"/>
            </w:tcBorders>
            <w:noWrap w:val="0"/>
            <w:vAlign w:val="center"/>
          </w:tcPr>
          <w:p w14:paraId="4217D8D5">
            <w:pPr>
              <w:numPr>
                <w:ilvl w:val="0"/>
                <w:numId w:val="0"/>
              </w:numPr>
              <w:spacing w:line="240" w:lineRule="auto"/>
              <w:ind w:leftChars="0"/>
              <w:rPr>
                <w:rFonts w:hint="default"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eastAsia="zh-CN"/>
              </w:rPr>
              <w:t>不迟到、早退、脱岗</w:t>
            </w:r>
          </w:p>
        </w:tc>
        <w:tc>
          <w:tcPr>
            <w:tcW w:w="2263" w:type="dxa"/>
            <w:tcBorders>
              <w:tl2br w:val="nil"/>
              <w:tr2bl w:val="nil"/>
            </w:tcBorders>
            <w:noWrap w:val="0"/>
            <w:vAlign w:val="center"/>
          </w:tcPr>
          <w:p w14:paraId="07BE096B">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6046CFEA">
            <w:pPr>
              <w:spacing w:line="240" w:lineRule="auto"/>
              <w:jc w:val="center"/>
              <w:rPr>
                <w:rFonts w:hint="eastAsia"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2FFAF30F">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1AABBA06">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10CB9ACF">
            <w:pPr>
              <w:widowControl/>
              <w:spacing w:line="300" w:lineRule="auto"/>
              <w:rPr>
                <w:rFonts w:hint="eastAsia" w:ascii="华文细黑" w:hAnsi="华文细黑" w:eastAsia="华文细黑" w:cs="华文细黑"/>
                <w:sz w:val="21"/>
                <w:szCs w:val="21"/>
                <w:highlight w:val="none"/>
              </w:rPr>
            </w:pPr>
          </w:p>
        </w:tc>
      </w:tr>
      <w:tr w14:paraId="51707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exact"/>
          <w:jc w:val="center"/>
        </w:trPr>
        <w:tc>
          <w:tcPr>
            <w:tcW w:w="966" w:type="dxa"/>
            <w:vMerge w:val="continue"/>
            <w:tcBorders>
              <w:right w:val="single" w:color="auto" w:sz="2" w:space="0"/>
              <w:tl2br w:val="nil"/>
              <w:tr2bl w:val="nil"/>
            </w:tcBorders>
            <w:noWrap w:val="0"/>
            <w:vAlign w:val="center"/>
          </w:tcPr>
          <w:p w14:paraId="7FDB2549">
            <w:pPr>
              <w:spacing w:line="300" w:lineRule="auto"/>
              <w:rPr>
                <w:rFonts w:hint="eastAsia" w:ascii="华文细黑" w:hAnsi="华文细黑" w:eastAsia="华文细黑" w:cs="华文细黑"/>
                <w:b/>
                <w:bCs/>
                <w:sz w:val="15"/>
                <w:szCs w:val="15"/>
                <w:highlight w:val="none"/>
              </w:rPr>
            </w:pPr>
          </w:p>
        </w:tc>
        <w:tc>
          <w:tcPr>
            <w:tcW w:w="4131" w:type="dxa"/>
            <w:tcBorders>
              <w:top w:val="single" w:color="auto" w:sz="2" w:space="0"/>
              <w:left w:val="single" w:color="auto" w:sz="2" w:space="0"/>
              <w:bottom w:val="single" w:color="auto" w:sz="2" w:space="0"/>
              <w:right w:val="single" w:color="auto" w:sz="2" w:space="0"/>
            </w:tcBorders>
            <w:noWrap w:val="0"/>
            <w:vAlign w:val="center"/>
          </w:tcPr>
          <w:p w14:paraId="548921CF">
            <w:pPr>
              <w:widowControl/>
              <w:spacing w:line="240" w:lineRule="auto"/>
              <w:jc w:val="both"/>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rPr>
              <w:t>保持通讯通畅，无酒后上班或</w:t>
            </w:r>
            <w:r>
              <w:rPr>
                <w:rFonts w:hint="eastAsia" w:ascii="华文细黑" w:hAnsi="华文细黑" w:eastAsia="华文细黑" w:cs="华文细黑"/>
                <w:sz w:val="13"/>
                <w:szCs w:val="13"/>
                <w:highlight w:val="none"/>
                <w:lang w:val="en-US" w:eastAsia="zh-CN"/>
              </w:rPr>
              <w:t>上班</w:t>
            </w:r>
            <w:r>
              <w:rPr>
                <w:rFonts w:hint="eastAsia" w:ascii="华文细黑" w:hAnsi="华文细黑" w:eastAsia="华文细黑" w:cs="华文细黑"/>
                <w:sz w:val="13"/>
                <w:szCs w:val="13"/>
                <w:highlight w:val="none"/>
                <w:lang w:val="en-US"/>
              </w:rPr>
              <w:t>打瞌睡、看书报、吸烟、吃零食等违规行为</w:t>
            </w:r>
          </w:p>
        </w:tc>
        <w:tc>
          <w:tcPr>
            <w:tcW w:w="2263" w:type="dxa"/>
            <w:tcBorders>
              <w:left w:val="single" w:color="auto" w:sz="2" w:space="0"/>
              <w:tl2br w:val="nil"/>
              <w:tr2bl w:val="nil"/>
            </w:tcBorders>
            <w:noWrap w:val="0"/>
            <w:vAlign w:val="center"/>
          </w:tcPr>
          <w:p w14:paraId="22BD6440">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7C49C8FC">
            <w:pPr>
              <w:spacing w:line="240" w:lineRule="auto"/>
              <w:jc w:val="center"/>
              <w:rPr>
                <w:rFonts w:hint="eastAsia"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3ED8FC1F">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0E42C1B4">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4D3591CC">
            <w:pPr>
              <w:widowControl/>
              <w:spacing w:line="300" w:lineRule="auto"/>
              <w:rPr>
                <w:rFonts w:hint="eastAsia" w:ascii="华文细黑" w:hAnsi="华文细黑" w:eastAsia="华文细黑" w:cs="华文细黑"/>
                <w:sz w:val="21"/>
                <w:szCs w:val="21"/>
                <w:highlight w:val="none"/>
              </w:rPr>
            </w:pPr>
          </w:p>
        </w:tc>
      </w:tr>
      <w:tr w14:paraId="54076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exact"/>
          <w:jc w:val="center"/>
        </w:trPr>
        <w:tc>
          <w:tcPr>
            <w:tcW w:w="966" w:type="dxa"/>
            <w:vMerge w:val="continue"/>
            <w:tcBorders>
              <w:tl2br w:val="nil"/>
              <w:tr2bl w:val="nil"/>
            </w:tcBorders>
            <w:noWrap w:val="0"/>
            <w:vAlign w:val="center"/>
          </w:tcPr>
          <w:p w14:paraId="61A0BC3E">
            <w:pPr>
              <w:spacing w:line="300" w:lineRule="auto"/>
              <w:rPr>
                <w:rFonts w:hint="eastAsia" w:ascii="华文细黑" w:hAnsi="华文细黑" w:eastAsia="华文细黑" w:cs="华文细黑"/>
                <w:b/>
                <w:bCs/>
                <w:sz w:val="15"/>
                <w:szCs w:val="15"/>
                <w:highlight w:val="none"/>
              </w:rPr>
            </w:pPr>
          </w:p>
        </w:tc>
        <w:tc>
          <w:tcPr>
            <w:tcW w:w="4131" w:type="dxa"/>
            <w:tcBorders>
              <w:top w:val="single" w:color="auto" w:sz="2" w:space="0"/>
              <w:tl2br w:val="nil"/>
              <w:tr2bl w:val="nil"/>
            </w:tcBorders>
            <w:noWrap w:val="0"/>
            <w:vAlign w:val="center"/>
          </w:tcPr>
          <w:p w14:paraId="1F9EE884">
            <w:pPr>
              <w:widowControl/>
              <w:spacing w:line="240" w:lineRule="auto"/>
              <w:jc w:val="both"/>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rPr>
              <w:t>严格执行保密制度，严禁私自拍摄、传播病人照片或视频，制作、复制、传播损害国家、单位或他人荣誉和利益的信息</w:t>
            </w:r>
          </w:p>
        </w:tc>
        <w:tc>
          <w:tcPr>
            <w:tcW w:w="2263" w:type="dxa"/>
            <w:tcBorders>
              <w:tl2br w:val="nil"/>
              <w:tr2bl w:val="nil"/>
            </w:tcBorders>
            <w:noWrap w:val="0"/>
            <w:vAlign w:val="center"/>
          </w:tcPr>
          <w:p w14:paraId="53282860">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38D6AA85">
            <w:pPr>
              <w:spacing w:line="240" w:lineRule="auto"/>
              <w:jc w:val="center"/>
              <w:rPr>
                <w:rFonts w:hint="eastAsia"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5A5241C1">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706FC2A2">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6FA521D5">
            <w:pPr>
              <w:widowControl/>
              <w:spacing w:line="300" w:lineRule="auto"/>
              <w:rPr>
                <w:rFonts w:hint="eastAsia" w:ascii="华文细黑" w:hAnsi="华文细黑" w:eastAsia="华文细黑" w:cs="华文细黑"/>
                <w:sz w:val="21"/>
                <w:szCs w:val="21"/>
                <w:highlight w:val="none"/>
              </w:rPr>
            </w:pPr>
          </w:p>
        </w:tc>
      </w:tr>
      <w:tr w14:paraId="255D7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966" w:type="dxa"/>
            <w:vMerge w:val="continue"/>
            <w:tcBorders>
              <w:tl2br w:val="nil"/>
              <w:tr2bl w:val="nil"/>
            </w:tcBorders>
            <w:noWrap w:val="0"/>
            <w:vAlign w:val="center"/>
          </w:tcPr>
          <w:p w14:paraId="548FC52F">
            <w:pPr>
              <w:spacing w:line="300" w:lineRule="auto"/>
              <w:rPr>
                <w:rFonts w:hint="eastAsia" w:ascii="华文细黑" w:hAnsi="华文细黑" w:eastAsia="华文细黑" w:cs="华文细黑"/>
                <w:b/>
                <w:bCs/>
                <w:sz w:val="15"/>
                <w:szCs w:val="15"/>
                <w:highlight w:val="none"/>
              </w:rPr>
            </w:pPr>
          </w:p>
        </w:tc>
        <w:tc>
          <w:tcPr>
            <w:tcW w:w="4131" w:type="dxa"/>
            <w:tcBorders>
              <w:tl2br w:val="nil"/>
              <w:tr2bl w:val="nil"/>
            </w:tcBorders>
            <w:noWrap w:val="0"/>
            <w:vAlign w:val="center"/>
          </w:tcPr>
          <w:p w14:paraId="6D4E40C3">
            <w:pPr>
              <w:widowControl/>
              <w:spacing w:line="240" w:lineRule="auto"/>
              <w:jc w:val="both"/>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rPr>
              <w:t>遵纪守法，爱护公共财物，不得将公物占为己有</w:t>
            </w:r>
          </w:p>
        </w:tc>
        <w:tc>
          <w:tcPr>
            <w:tcW w:w="2263" w:type="dxa"/>
            <w:tcBorders>
              <w:tl2br w:val="nil"/>
              <w:tr2bl w:val="nil"/>
            </w:tcBorders>
            <w:noWrap w:val="0"/>
            <w:vAlign w:val="center"/>
          </w:tcPr>
          <w:p w14:paraId="1D447408">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08F030EF">
            <w:pPr>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4BEECB39">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62299432">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2880484F">
            <w:pPr>
              <w:widowControl/>
              <w:spacing w:line="300" w:lineRule="auto"/>
              <w:rPr>
                <w:rFonts w:hint="eastAsia" w:ascii="华文细黑" w:hAnsi="华文细黑" w:eastAsia="华文细黑" w:cs="华文细黑"/>
                <w:sz w:val="21"/>
                <w:szCs w:val="21"/>
                <w:highlight w:val="none"/>
              </w:rPr>
            </w:pPr>
          </w:p>
        </w:tc>
      </w:tr>
      <w:tr w14:paraId="7FD8D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exact"/>
          <w:jc w:val="center"/>
        </w:trPr>
        <w:tc>
          <w:tcPr>
            <w:tcW w:w="966" w:type="dxa"/>
            <w:vMerge w:val="continue"/>
            <w:tcBorders>
              <w:tl2br w:val="nil"/>
              <w:tr2bl w:val="nil"/>
            </w:tcBorders>
            <w:noWrap w:val="0"/>
            <w:vAlign w:val="center"/>
          </w:tcPr>
          <w:p w14:paraId="2E4004E9">
            <w:pPr>
              <w:spacing w:line="300" w:lineRule="auto"/>
              <w:rPr>
                <w:rFonts w:hint="eastAsia" w:ascii="华文细黑" w:hAnsi="华文细黑" w:eastAsia="华文细黑" w:cs="华文细黑"/>
                <w:b/>
                <w:bCs/>
                <w:sz w:val="15"/>
                <w:szCs w:val="15"/>
                <w:highlight w:val="none"/>
              </w:rPr>
            </w:pPr>
          </w:p>
        </w:tc>
        <w:tc>
          <w:tcPr>
            <w:tcW w:w="4131" w:type="dxa"/>
            <w:tcBorders>
              <w:tl2br w:val="nil"/>
              <w:tr2bl w:val="nil"/>
            </w:tcBorders>
            <w:noWrap w:val="0"/>
            <w:vAlign w:val="center"/>
          </w:tcPr>
          <w:p w14:paraId="5C2A7B12">
            <w:pPr>
              <w:widowControl/>
              <w:spacing w:line="240" w:lineRule="auto"/>
              <w:jc w:val="both"/>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rPr>
              <w:t>不得兼职</w:t>
            </w:r>
          </w:p>
        </w:tc>
        <w:tc>
          <w:tcPr>
            <w:tcW w:w="2263" w:type="dxa"/>
            <w:tcBorders>
              <w:tl2br w:val="nil"/>
              <w:tr2bl w:val="nil"/>
            </w:tcBorders>
            <w:noWrap w:val="0"/>
            <w:vAlign w:val="center"/>
          </w:tcPr>
          <w:p w14:paraId="07AEC00B">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每发现一次不符合要求扣0.5分</w:t>
            </w:r>
          </w:p>
        </w:tc>
        <w:tc>
          <w:tcPr>
            <w:tcW w:w="673" w:type="dxa"/>
            <w:tcBorders>
              <w:tl2br w:val="nil"/>
              <w:tr2bl w:val="nil"/>
            </w:tcBorders>
            <w:noWrap w:val="0"/>
            <w:vAlign w:val="center"/>
          </w:tcPr>
          <w:p w14:paraId="582E9F09">
            <w:pPr>
              <w:spacing w:line="240" w:lineRule="auto"/>
              <w:jc w:val="center"/>
              <w:rPr>
                <w:rFonts w:hint="eastAsia"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5B69AEBC">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38F77729">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7190C808">
            <w:pPr>
              <w:widowControl/>
              <w:spacing w:line="300" w:lineRule="auto"/>
              <w:rPr>
                <w:rFonts w:hint="eastAsia" w:ascii="华文细黑" w:hAnsi="华文细黑" w:eastAsia="华文细黑" w:cs="华文细黑"/>
                <w:sz w:val="21"/>
                <w:szCs w:val="21"/>
                <w:highlight w:val="none"/>
              </w:rPr>
            </w:pPr>
          </w:p>
        </w:tc>
      </w:tr>
      <w:tr w14:paraId="49B5F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exact"/>
          <w:jc w:val="center"/>
        </w:trPr>
        <w:tc>
          <w:tcPr>
            <w:tcW w:w="966" w:type="dxa"/>
            <w:vMerge w:val="restart"/>
            <w:tcBorders>
              <w:tl2br w:val="nil"/>
              <w:tr2bl w:val="nil"/>
            </w:tcBorders>
            <w:noWrap w:val="0"/>
            <w:vAlign w:val="center"/>
          </w:tcPr>
          <w:p w14:paraId="511FC3C2">
            <w:pPr>
              <w:spacing w:line="300" w:lineRule="auto"/>
              <w:jc w:val="center"/>
              <w:rPr>
                <w:rFonts w:hint="eastAsia" w:ascii="华文细黑" w:hAnsi="华文细黑" w:eastAsia="华文细黑" w:cs="华文细黑"/>
                <w:b/>
                <w:bCs/>
                <w:sz w:val="18"/>
                <w:szCs w:val="18"/>
                <w:highlight w:val="none"/>
                <w:lang w:val="en-US"/>
              </w:rPr>
            </w:pPr>
            <w:r>
              <w:rPr>
                <w:rFonts w:hint="eastAsia" w:ascii="华文细黑" w:hAnsi="华文细黑" w:eastAsia="华文细黑" w:cs="华文细黑"/>
                <w:b/>
                <w:bCs/>
                <w:sz w:val="18"/>
                <w:szCs w:val="18"/>
                <w:highlight w:val="none"/>
                <w:lang w:val="en-US" w:eastAsia="zh-CN"/>
              </w:rPr>
              <w:t>高配房运维</w:t>
            </w:r>
            <w:r>
              <w:rPr>
                <w:rFonts w:hint="eastAsia" w:ascii="华文细黑" w:hAnsi="华文细黑" w:eastAsia="华文细黑" w:cs="华文细黑"/>
                <w:b/>
                <w:bCs/>
                <w:sz w:val="18"/>
                <w:szCs w:val="18"/>
                <w:highlight w:val="none"/>
                <w:lang w:val="en-US"/>
              </w:rPr>
              <w:t>岗位质量</w:t>
            </w:r>
          </w:p>
          <w:p w14:paraId="2BC97538">
            <w:pPr>
              <w:spacing w:line="300" w:lineRule="auto"/>
              <w:jc w:val="center"/>
              <w:rPr>
                <w:rFonts w:hint="eastAsia" w:ascii="华文细黑" w:hAnsi="华文细黑" w:eastAsia="华文细黑" w:cs="华文细黑"/>
                <w:b/>
                <w:bCs/>
                <w:sz w:val="18"/>
                <w:szCs w:val="18"/>
                <w:highlight w:val="none"/>
              </w:rPr>
            </w:pPr>
            <w:r>
              <w:rPr>
                <w:rFonts w:hint="eastAsia" w:ascii="华文细黑" w:hAnsi="华文细黑" w:eastAsia="华文细黑" w:cs="华文细黑"/>
                <w:b/>
                <w:bCs/>
                <w:sz w:val="18"/>
                <w:szCs w:val="18"/>
                <w:highlight w:val="none"/>
                <w:lang w:val="en-US"/>
              </w:rPr>
              <w:t>(</w:t>
            </w:r>
            <w:r>
              <w:rPr>
                <w:rFonts w:hint="eastAsia" w:ascii="华文细黑" w:hAnsi="华文细黑" w:eastAsia="华文细黑" w:cs="华文细黑"/>
                <w:b/>
                <w:bCs/>
                <w:sz w:val="18"/>
                <w:szCs w:val="18"/>
                <w:highlight w:val="none"/>
                <w:lang w:val="en-US" w:eastAsia="zh-CN"/>
              </w:rPr>
              <w:t>40</w:t>
            </w:r>
            <w:r>
              <w:rPr>
                <w:rFonts w:hint="eastAsia" w:ascii="华文细黑" w:hAnsi="华文细黑" w:eastAsia="华文细黑" w:cs="华文细黑"/>
                <w:b/>
                <w:bCs/>
                <w:sz w:val="18"/>
                <w:szCs w:val="18"/>
                <w:highlight w:val="none"/>
                <w:lang w:val="en-US"/>
              </w:rPr>
              <w:t>分)</w:t>
            </w:r>
          </w:p>
          <w:p w14:paraId="1739030D">
            <w:pPr>
              <w:spacing w:line="300" w:lineRule="auto"/>
              <w:rPr>
                <w:rFonts w:hint="eastAsia" w:ascii="华文细黑" w:hAnsi="华文细黑" w:eastAsia="华文细黑" w:cs="华文细黑"/>
                <w:b/>
                <w:bCs/>
                <w:sz w:val="15"/>
                <w:szCs w:val="15"/>
                <w:highlight w:val="none"/>
              </w:rPr>
            </w:pPr>
          </w:p>
        </w:tc>
        <w:tc>
          <w:tcPr>
            <w:tcW w:w="4131" w:type="dxa"/>
            <w:tcBorders>
              <w:tl2br w:val="nil"/>
              <w:tr2bl w:val="nil"/>
            </w:tcBorders>
            <w:noWrap w:val="0"/>
            <w:vAlign w:val="center"/>
          </w:tcPr>
          <w:p w14:paraId="67BBF955">
            <w:pPr>
              <w:widowControl/>
              <w:spacing w:line="240" w:lineRule="auto"/>
              <w:jc w:val="both"/>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eastAsia="zh-CN"/>
              </w:rPr>
              <w:t>按需</w:t>
            </w:r>
            <w:r>
              <w:rPr>
                <w:rFonts w:hint="eastAsia" w:ascii="华文细黑" w:hAnsi="华文细黑" w:eastAsia="华文细黑" w:cs="华文细黑"/>
                <w:sz w:val="13"/>
                <w:szCs w:val="13"/>
                <w:highlight w:val="none"/>
                <w:lang w:val="en-US"/>
              </w:rPr>
              <w:t>参加医院各项安全专业技能培训</w:t>
            </w:r>
          </w:p>
        </w:tc>
        <w:tc>
          <w:tcPr>
            <w:tcW w:w="2263" w:type="dxa"/>
            <w:tcBorders>
              <w:tl2br w:val="nil"/>
              <w:tr2bl w:val="nil"/>
            </w:tcBorders>
            <w:noWrap w:val="0"/>
            <w:vAlign w:val="center"/>
          </w:tcPr>
          <w:p w14:paraId="76C9F7FD">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每发现一次不符合要求扣1分</w:t>
            </w:r>
          </w:p>
        </w:tc>
        <w:tc>
          <w:tcPr>
            <w:tcW w:w="673" w:type="dxa"/>
            <w:tcBorders>
              <w:tl2br w:val="nil"/>
              <w:tr2bl w:val="nil"/>
            </w:tcBorders>
            <w:noWrap w:val="0"/>
            <w:vAlign w:val="center"/>
          </w:tcPr>
          <w:p w14:paraId="66BDEAA0">
            <w:pPr>
              <w:spacing w:line="240" w:lineRule="auto"/>
              <w:jc w:val="center"/>
              <w:rPr>
                <w:rFonts w:hint="eastAsia"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139307AC">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13F33141">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526BE435">
            <w:pPr>
              <w:widowControl/>
              <w:spacing w:line="300" w:lineRule="auto"/>
              <w:rPr>
                <w:rFonts w:hint="eastAsia" w:ascii="华文细黑" w:hAnsi="华文细黑" w:eastAsia="华文细黑" w:cs="华文细黑"/>
                <w:sz w:val="21"/>
                <w:szCs w:val="21"/>
                <w:highlight w:val="none"/>
              </w:rPr>
            </w:pPr>
          </w:p>
        </w:tc>
      </w:tr>
      <w:tr w14:paraId="2E57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exact"/>
          <w:jc w:val="center"/>
        </w:trPr>
        <w:tc>
          <w:tcPr>
            <w:tcW w:w="966" w:type="dxa"/>
            <w:vMerge w:val="continue"/>
            <w:tcBorders>
              <w:tl2br w:val="nil"/>
              <w:tr2bl w:val="nil"/>
            </w:tcBorders>
            <w:noWrap w:val="0"/>
            <w:vAlign w:val="center"/>
          </w:tcPr>
          <w:p w14:paraId="0D1B2B7D">
            <w:pPr>
              <w:widowControl/>
              <w:spacing w:line="300" w:lineRule="auto"/>
              <w:rPr>
                <w:rFonts w:hint="eastAsia" w:ascii="华文细黑" w:hAnsi="华文细黑" w:eastAsia="华文细黑" w:cs="华文细黑"/>
                <w:b/>
                <w:bCs/>
                <w:sz w:val="21"/>
                <w:szCs w:val="21"/>
                <w:highlight w:val="none"/>
              </w:rPr>
            </w:pPr>
          </w:p>
        </w:tc>
        <w:tc>
          <w:tcPr>
            <w:tcW w:w="4131" w:type="dxa"/>
            <w:tcBorders>
              <w:tl2br w:val="nil"/>
              <w:tr2bl w:val="nil"/>
            </w:tcBorders>
            <w:noWrap w:val="0"/>
            <w:vAlign w:val="center"/>
          </w:tcPr>
          <w:p w14:paraId="50A7A018">
            <w:pPr>
              <w:widowControl/>
              <w:spacing w:line="240" w:lineRule="auto"/>
              <w:jc w:val="both"/>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rPr>
              <w:t>配合执行医院临时交待任务（</w:t>
            </w:r>
            <w:r>
              <w:rPr>
                <w:rFonts w:hint="eastAsia" w:ascii="华文细黑" w:hAnsi="华文细黑" w:eastAsia="华文细黑" w:cs="华文细黑"/>
                <w:sz w:val="13"/>
                <w:szCs w:val="13"/>
                <w:highlight w:val="none"/>
                <w:lang w:val="en-US" w:eastAsia="zh-CN"/>
              </w:rPr>
              <w:t>不得</w:t>
            </w:r>
            <w:r>
              <w:rPr>
                <w:rFonts w:hint="eastAsia" w:ascii="华文细黑" w:hAnsi="华文细黑" w:eastAsia="华文细黑" w:cs="华文细黑"/>
                <w:sz w:val="13"/>
                <w:szCs w:val="13"/>
                <w:highlight w:val="none"/>
                <w:lang w:val="en-US"/>
              </w:rPr>
              <w:t>推诿/刁难或找借口拒绝合作等</w:t>
            </w:r>
            <w:r>
              <w:rPr>
                <w:rFonts w:hint="eastAsia" w:ascii="华文细黑" w:hAnsi="华文细黑" w:eastAsia="华文细黑" w:cs="华文细黑"/>
                <w:sz w:val="13"/>
                <w:szCs w:val="13"/>
                <w:highlight w:val="none"/>
                <w:lang w:val="en-US" w:eastAsia="zh-CN"/>
              </w:rPr>
              <w:t>）</w:t>
            </w:r>
          </w:p>
        </w:tc>
        <w:tc>
          <w:tcPr>
            <w:tcW w:w="2263" w:type="dxa"/>
            <w:tcBorders>
              <w:tl2br w:val="nil"/>
              <w:tr2bl w:val="nil"/>
            </w:tcBorders>
            <w:noWrap w:val="0"/>
            <w:vAlign w:val="center"/>
          </w:tcPr>
          <w:p w14:paraId="12E40E47">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每发现一次不符合要求扣1分</w:t>
            </w:r>
          </w:p>
        </w:tc>
        <w:tc>
          <w:tcPr>
            <w:tcW w:w="673" w:type="dxa"/>
            <w:tcBorders>
              <w:tl2br w:val="nil"/>
              <w:tr2bl w:val="nil"/>
            </w:tcBorders>
            <w:noWrap w:val="0"/>
            <w:vAlign w:val="center"/>
          </w:tcPr>
          <w:p w14:paraId="6537D463">
            <w:pPr>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5D88CE62">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65F9C0C6">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08A05266">
            <w:pPr>
              <w:widowControl/>
              <w:spacing w:line="300" w:lineRule="auto"/>
              <w:rPr>
                <w:rFonts w:hint="eastAsia" w:ascii="华文细黑" w:hAnsi="华文细黑" w:eastAsia="华文细黑" w:cs="华文细黑"/>
                <w:sz w:val="21"/>
                <w:szCs w:val="21"/>
                <w:highlight w:val="none"/>
              </w:rPr>
            </w:pPr>
          </w:p>
        </w:tc>
      </w:tr>
      <w:tr w14:paraId="38358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exact"/>
          <w:jc w:val="center"/>
        </w:trPr>
        <w:tc>
          <w:tcPr>
            <w:tcW w:w="966" w:type="dxa"/>
            <w:vMerge w:val="continue"/>
            <w:tcBorders>
              <w:tl2br w:val="nil"/>
              <w:tr2bl w:val="nil"/>
            </w:tcBorders>
            <w:noWrap w:val="0"/>
            <w:vAlign w:val="center"/>
          </w:tcPr>
          <w:p w14:paraId="268E45DB">
            <w:pPr>
              <w:widowControl/>
              <w:spacing w:line="300" w:lineRule="auto"/>
              <w:rPr>
                <w:rFonts w:hint="eastAsia" w:ascii="华文细黑" w:hAnsi="华文细黑" w:eastAsia="华文细黑" w:cs="华文细黑"/>
                <w:b/>
                <w:bCs/>
                <w:sz w:val="21"/>
                <w:szCs w:val="21"/>
                <w:highlight w:val="none"/>
              </w:rPr>
            </w:pPr>
          </w:p>
        </w:tc>
        <w:tc>
          <w:tcPr>
            <w:tcW w:w="4131" w:type="dxa"/>
            <w:tcBorders>
              <w:tl2br w:val="nil"/>
              <w:tr2bl w:val="nil"/>
            </w:tcBorders>
            <w:noWrap w:val="0"/>
            <w:vAlign w:val="center"/>
          </w:tcPr>
          <w:p w14:paraId="1ACE2BFC">
            <w:pPr>
              <w:widowControl/>
              <w:spacing w:line="240" w:lineRule="auto"/>
              <w:jc w:val="both"/>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eastAsia="zh-CN"/>
              </w:rPr>
              <w:t>按招标要求定期巡查、抄表，按时完成倒闸操作等，</w:t>
            </w:r>
            <w:r>
              <w:rPr>
                <w:rFonts w:hint="eastAsia" w:ascii="华文细黑" w:hAnsi="华文细黑" w:eastAsia="华文细黑" w:cs="华文细黑"/>
                <w:b w:val="0"/>
                <w:bCs w:val="0"/>
                <w:sz w:val="13"/>
                <w:szCs w:val="13"/>
                <w:highlight w:val="none"/>
                <w:lang w:val="en-US" w:eastAsia="zh-CN"/>
              </w:rPr>
              <w:t>及时查找、发现电力系统存在隐患，汇报总务科长与水电班长</w:t>
            </w:r>
          </w:p>
          <w:p w14:paraId="12DECDF6">
            <w:pPr>
              <w:widowControl/>
              <w:spacing w:line="240" w:lineRule="auto"/>
              <w:jc w:val="both"/>
              <w:rPr>
                <w:rFonts w:hint="eastAsia" w:ascii="华文细黑" w:hAnsi="华文细黑" w:eastAsia="华文细黑" w:cs="华文细黑"/>
                <w:sz w:val="13"/>
                <w:szCs w:val="13"/>
                <w:highlight w:val="none"/>
                <w:lang w:val="en-US" w:eastAsia="zh-CN"/>
              </w:rPr>
            </w:pPr>
          </w:p>
          <w:p w14:paraId="60B23CDE">
            <w:pPr>
              <w:widowControl/>
              <w:spacing w:line="240" w:lineRule="auto"/>
              <w:jc w:val="both"/>
              <w:rPr>
                <w:rFonts w:hint="eastAsia" w:ascii="华文细黑" w:hAnsi="华文细黑" w:eastAsia="华文细黑" w:cs="华文细黑"/>
                <w:sz w:val="13"/>
                <w:szCs w:val="13"/>
                <w:highlight w:val="none"/>
                <w:lang w:val="en-US" w:eastAsia="zh-CN"/>
              </w:rPr>
            </w:pPr>
          </w:p>
        </w:tc>
        <w:tc>
          <w:tcPr>
            <w:tcW w:w="2263" w:type="dxa"/>
            <w:tcBorders>
              <w:tl2br w:val="nil"/>
              <w:tr2bl w:val="nil"/>
            </w:tcBorders>
            <w:noWrap w:val="0"/>
            <w:vAlign w:val="center"/>
          </w:tcPr>
          <w:p w14:paraId="10076FF8">
            <w:pPr>
              <w:widowControl/>
              <w:spacing w:line="240" w:lineRule="auto"/>
              <w:jc w:val="center"/>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5</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2FEEA19A">
            <w:pPr>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10</w:t>
            </w:r>
          </w:p>
        </w:tc>
        <w:tc>
          <w:tcPr>
            <w:tcW w:w="673" w:type="dxa"/>
            <w:tcBorders>
              <w:tl2br w:val="nil"/>
              <w:tr2bl w:val="nil"/>
            </w:tcBorders>
            <w:noWrap w:val="0"/>
            <w:vAlign w:val="center"/>
          </w:tcPr>
          <w:p w14:paraId="0B74C678">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7AA2F8D9">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50EF25E2">
            <w:pPr>
              <w:widowControl/>
              <w:spacing w:line="300" w:lineRule="auto"/>
              <w:rPr>
                <w:rFonts w:hint="eastAsia" w:ascii="华文细黑" w:hAnsi="华文细黑" w:eastAsia="华文细黑" w:cs="华文细黑"/>
                <w:sz w:val="21"/>
                <w:szCs w:val="21"/>
                <w:highlight w:val="none"/>
              </w:rPr>
            </w:pPr>
          </w:p>
        </w:tc>
      </w:tr>
      <w:tr w14:paraId="7703C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exact"/>
          <w:jc w:val="center"/>
        </w:trPr>
        <w:tc>
          <w:tcPr>
            <w:tcW w:w="966" w:type="dxa"/>
            <w:vMerge w:val="continue"/>
            <w:tcBorders>
              <w:tl2br w:val="nil"/>
              <w:tr2bl w:val="nil"/>
            </w:tcBorders>
            <w:noWrap w:val="0"/>
            <w:vAlign w:val="center"/>
          </w:tcPr>
          <w:p w14:paraId="480AE9EA">
            <w:pPr>
              <w:widowControl/>
              <w:spacing w:line="300" w:lineRule="auto"/>
              <w:rPr>
                <w:rFonts w:hint="eastAsia" w:ascii="华文细黑" w:hAnsi="华文细黑" w:eastAsia="华文细黑" w:cs="华文细黑"/>
                <w:b/>
                <w:bCs/>
                <w:sz w:val="21"/>
                <w:szCs w:val="21"/>
                <w:highlight w:val="none"/>
              </w:rPr>
            </w:pPr>
          </w:p>
        </w:tc>
        <w:tc>
          <w:tcPr>
            <w:tcW w:w="4131" w:type="dxa"/>
            <w:tcBorders>
              <w:tl2br w:val="nil"/>
              <w:tr2bl w:val="nil"/>
            </w:tcBorders>
            <w:noWrap w:val="0"/>
            <w:vAlign w:val="center"/>
          </w:tcPr>
          <w:p w14:paraId="7770517B">
            <w:pPr>
              <w:widowControl/>
              <w:spacing w:line="240" w:lineRule="auto"/>
              <w:jc w:val="both"/>
              <w:rPr>
                <w:rFonts w:hint="default"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eastAsia="zh-CN"/>
              </w:rPr>
              <w:t>每月发电机试运行一次</w:t>
            </w:r>
          </w:p>
        </w:tc>
        <w:tc>
          <w:tcPr>
            <w:tcW w:w="2263" w:type="dxa"/>
            <w:tcBorders>
              <w:tl2br w:val="nil"/>
              <w:tr2bl w:val="nil"/>
            </w:tcBorders>
            <w:noWrap w:val="0"/>
            <w:vAlign w:val="center"/>
          </w:tcPr>
          <w:p w14:paraId="798606C5">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5</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564B1F7E">
            <w:pPr>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10</w:t>
            </w:r>
          </w:p>
        </w:tc>
        <w:tc>
          <w:tcPr>
            <w:tcW w:w="673" w:type="dxa"/>
            <w:tcBorders>
              <w:tl2br w:val="nil"/>
              <w:tr2bl w:val="nil"/>
            </w:tcBorders>
            <w:noWrap w:val="0"/>
            <w:vAlign w:val="center"/>
          </w:tcPr>
          <w:p w14:paraId="7F539D10">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6B1DA9C9">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74055DD0">
            <w:pPr>
              <w:widowControl/>
              <w:spacing w:line="300" w:lineRule="auto"/>
              <w:rPr>
                <w:rFonts w:hint="eastAsia" w:ascii="华文细黑" w:hAnsi="华文细黑" w:eastAsia="华文细黑" w:cs="华文细黑"/>
                <w:sz w:val="21"/>
                <w:szCs w:val="21"/>
                <w:highlight w:val="none"/>
              </w:rPr>
            </w:pPr>
          </w:p>
        </w:tc>
      </w:tr>
      <w:tr w14:paraId="4D1C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exact"/>
          <w:jc w:val="center"/>
        </w:trPr>
        <w:tc>
          <w:tcPr>
            <w:tcW w:w="966" w:type="dxa"/>
            <w:vMerge w:val="continue"/>
            <w:tcBorders>
              <w:tl2br w:val="nil"/>
              <w:tr2bl w:val="nil"/>
            </w:tcBorders>
            <w:noWrap w:val="0"/>
            <w:vAlign w:val="center"/>
          </w:tcPr>
          <w:p w14:paraId="601F4AE6">
            <w:pPr>
              <w:spacing w:line="300" w:lineRule="auto"/>
              <w:jc w:val="center"/>
              <w:rPr>
                <w:rFonts w:hint="eastAsia" w:ascii="华文细黑" w:hAnsi="华文细黑" w:eastAsia="华文细黑" w:cs="华文细黑"/>
                <w:b/>
                <w:bCs/>
                <w:sz w:val="18"/>
                <w:szCs w:val="18"/>
                <w:highlight w:val="none"/>
                <w:lang w:val="en-US"/>
              </w:rPr>
            </w:pPr>
          </w:p>
        </w:tc>
        <w:tc>
          <w:tcPr>
            <w:tcW w:w="4131" w:type="dxa"/>
            <w:tcBorders>
              <w:tl2br w:val="nil"/>
              <w:tr2bl w:val="nil"/>
            </w:tcBorders>
            <w:noWrap w:val="0"/>
            <w:vAlign w:val="center"/>
          </w:tcPr>
          <w:p w14:paraId="78B2CC17">
            <w:pPr>
              <w:keepNext w:val="0"/>
              <w:keepLines w:val="0"/>
              <w:widowControl/>
              <w:suppressLineNumbers w:val="0"/>
              <w:spacing w:line="240" w:lineRule="auto"/>
              <w:jc w:val="left"/>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color w:val="000000"/>
                <w:kern w:val="0"/>
                <w:sz w:val="13"/>
                <w:szCs w:val="13"/>
                <w:highlight w:val="none"/>
                <w:lang w:val="en-US" w:eastAsia="zh-CN" w:bidi="ar"/>
              </w:rPr>
              <w:t>对出入9号楼配电房人员进行管控，提供人员出入记录单</w:t>
            </w:r>
          </w:p>
        </w:tc>
        <w:tc>
          <w:tcPr>
            <w:tcW w:w="2263" w:type="dxa"/>
            <w:tcBorders>
              <w:tl2br w:val="nil"/>
              <w:tr2bl w:val="nil"/>
            </w:tcBorders>
            <w:noWrap w:val="0"/>
            <w:vAlign w:val="center"/>
          </w:tcPr>
          <w:p w14:paraId="560044DB">
            <w:pPr>
              <w:spacing w:line="240" w:lineRule="auto"/>
              <w:jc w:val="center"/>
              <w:rPr>
                <w:rFonts w:hint="eastAsia" w:ascii="华文细黑" w:hAnsi="华文细黑" w:eastAsia="华文细黑" w:cs="华文细黑"/>
                <w:sz w:val="13"/>
                <w:szCs w:val="13"/>
                <w:highlight w:val="none"/>
                <w:lang w:val="en-US" w:eastAsia="zh-CN"/>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1</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4791F0DA">
            <w:pPr>
              <w:widowControl/>
              <w:autoSpaceDE/>
              <w:autoSpaceDN/>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0F5FA23B">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7CA935BA">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3EBB4DE5">
            <w:pPr>
              <w:widowControl/>
              <w:spacing w:line="300" w:lineRule="auto"/>
              <w:rPr>
                <w:rFonts w:hint="eastAsia" w:ascii="华文细黑" w:hAnsi="华文细黑" w:eastAsia="华文细黑" w:cs="华文细黑"/>
                <w:sz w:val="21"/>
                <w:szCs w:val="21"/>
                <w:highlight w:val="none"/>
              </w:rPr>
            </w:pPr>
          </w:p>
        </w:tc>
      </w:tr>
      <w:tr w14:paraId="3FF1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exact"/>
          <w:jc w:val="center"/>
        </w:trPr>
        <w:tc>
          <w:tcPr>
            <w:tcW w:w="966" w:type="dxa"/>
            <w:vMerge w:val="continue"/>
            <w:tcBorders>
              <w:tl2br w:val="nil"/>
              <w:tr2bl w:val="nil"/>
            </w:tcBorders>
            <w:noWrap w:val="0"/>
            <w:vAlign w:val="center"/>
          </w:tcPr>
          <w:p w14:paraId="1B2E82F0">
            <w:pPr>
              <w:spacing w:line="300" w:lineRule="auto"/>
              <w:jc w:val="center"/>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12394506">
            <w:pPr>
              <w:keepNext w:val="0"/>
              <w:keepLines w:val="0"/>
              <w:widowControl/>
              <w:suppressLineNumbers w:val="0"/>
              <w:spacing w:line="240" w:lineRule="auto"/>
              <w:jc w:val="left"/>
              <w:rPr>
                <w:rFonts w:hint="eastAsia" w:ascii="华文细黑" w:hAnsi="华文细黑" w:eastAsia="华文细黑" w:cs="华文细黑"/>
                <w:sz w:val="13"/>
                <w:szCs w:val="13"/>
                <w:highlight w:val="none"/>
              </w:rPr>
            </w:pPr>
            <w:r>
              <w:rPr>
                <w:rFonts w:hint="eastAsia" w:ascii="华文细黑" w:hAnsi="华文细黑" w:eastAsia="华文细黑" w:cs="华文细黑"/>
                <w:color w:val="000000"/>
                <w:kern w:val="0"/>
                <w:sz w:val="13"/>
                <w:szCs w:val="13"/>
                <w:highlight w:val="none"/>
                <w:lang w:val="en-US" w:eastAsia="zh-CN" w:bidi="ar"/>
              </w:rPr>
              <w:t>安全工器具进行</w:t>
            </w:r>
            <w:r>
              <w:rPr>
                <w:rFonts w:hint="eastAsia" w:ascii="华文细黑" w:hAnsi="华文细黑" w:eastAsia="华文细黑" w:cs="华文细黑"/>
                <w:sz w:val="13"/>
                <w:szCs w:val="13"/>
                <w:highlight w:val="none"/>
                <w:lang w:val="en-US" w:eastAsia="zh-CN"/>
              </w:rPr>
              <w:t>定期报检</w:t>
            </w:r>
            <w:r>
              <w:rPr>
                <w:rFonts w:hint="eastAsia" w:ascii="华文细黑" w:hAnsi="华文细黑" w:eastAsia="华文细黑" w:cs="华文细黑"/>
                <w:color w:val="000000"/>
                <w:kern w:val="0"/>
                <w:sz w:val="13"/>
                <w:szCs w:val="13"/>
                <w:highlight w:val="none"/>
                <w:lang w:val="en-US" w:eastAsia="zh-CN" w:bidi="ar"/>
              </w:rPr>
              <w:t>，提供</w:t>
            </w:r>
            <w:r>
              <w:rPr>
                <w:rFonts w:hint="eastAsia" w:ascii="华文细黑" w:hAnsi="华文细黑" w:eastAsia="华文细黑" w:cs="华文细黑"/>
                <w:sz w:val="13"/>
                <w:szCs w:val="13"/>
                <w:highlight w:val="none"/>
                <w:lang w:val="en-US" w:eastAsia="zh-CN"/>
              </w:rPr>
              <w:t>检测报告</w:t>
            </w:r>
            <w:r>
              <w:rPr>
                <w:rFonts w:hint="eastAsia" w:ascii="华文细黑" w:hAnsi="华文细黑" w:eastAsia="华文细黑" w:cs="华文细黑"/>
                <w:color w:val="000000"/>
                <w:kern w:val="0"/>
                <w:sz w:val="13"/>
                <w:szCs w:val="13"/>
                <w:highlight w:val="none"/>
                <w:lang w:val="en-US" w:eastAsia="zh-CN" w:bidi="ar"/>
              </w:rPr>
              <w:t xml:space="preserve"> </w:t>
            </w:r>
          </w:p>
          <w:p w14:paraId="74857019">
            <w:pPr>
              <w:spacing w:line="240" w:lineRule="auto"/>
              <w:jc w:val="center"/>
              <w:rPr>
                <w:rFonts w:hint="default" w:ascii="华文细黑" w:hAnsi="华文细黑" w:eastAsia="华文细黑" w:cs="华文细黑"/>
                <w:b/>
                <w:bCs/>
                <w:sz w:val="13"/>
                <w:szCs w:val="13"/>
                <w:highlight w:val="none"/>
                <w:lang w:val="en-US" w:eastAsia="zh-CN"/>
              </w:rPr>
            </w:pPr>
          </w:p>
        </w:tc>
        <w:tc>
          <w:tcPr>
            <w:tcW w:w="2263" w:type="dxa"/>
            <w:tcBorders>
              <w:tl2br w:val="nil"/>
              <w:tr2bl w:val="nil"/>
            </w:tcBorders>
            <w:noWrap w:val="0"/>
            <w:vAlign w:val="center"/>
          </w:tcPr>
          <w:p w14:paraId="285EE191">
            <w:pPr>
              <w:spacing w:line="240" w:lineRule="auto"/>
              <w:jc w:val="center"/>
              <w:rPr>
                <w:rFonts w:hint="eastAsia" w:ascii="华文细黑" w:hAnsi="华文细黑" w:eastAsia="华文细黑" w:cs="华文细黑"/>
                <w:b/>
                <w:bCs/>
                <w:sz w:val="13"/>
                <w:szCs w:val="13"/>
                <w:highlight w:val="none"/>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1</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48B98D95">
            <w:pPr>
              <w:widowControl/>
              <w:autoSpaceDE/>
              <w:autoSpaceDN/>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1AAD6B4E">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71E82EBE">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55DD63B2">
            <w:pPr>
              <w:widowControl/>
              <w:spacing w:line="300" w:lineRule="auto"/>
              <w:rPr>
                <w:rFonts w:hint="eastAsia" w:ascii="华文细黑" w:hAnsi="华文细黑" w:eastAsia="华文细黑" w:cs="华文细黑"/>
                <w:sz w:val="21"/>
                <w:szCs w:val="21"/>
                <w:highlight w:val="none"/>
              </w:rPr>
            </w:pPr>
          </w:p>
        </w:tc>
      </w:tr>
      <w:tr w14:paraId="6F6B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exact"/>
          <w:jc w:val="center"/>
        </w:trPr>
        <w:tc>
          <w:tcPr>
            <w:tcW w:w="966" w:type="dxa"/>
            <w:vMerge w:val="continue"/>
            <w:tcBorders>
              <w:tl2br w:val="nil"/>
              <w:tr2bl w:val="nil"/>
            </w:tcBorders>
            <w:noWrap w:val="0"/>
            <w:vAlign w:val="center"/>
          </w:tcPr>
          <w:p w14:paraId="3B989FB3">
            <w:pPr>
              <w:spacing w:line="300" w:lineRule="auto"/>
              <w:jc w:val="center"/>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48B6A62F">
            <w:pPr>
              <w:spacing w:line="240" w:lineRule="auto"/>
              <w:jc w:val="both"/>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val="0"/>
                <w:bCs w:val="0"/>
                <w:sz w:val="13"/>
                <w:szCs w:val="13"/>
                <w:highlight w:val="none"/>
                <w:lang w:val="en-US" w:eastAsia="zh-CN"/>
              </w:rPr>
              <w:t>配电房内卫生情况良好，温湿度情况良好</w:t>
            </w:r>
          </w:p>
        </w:tc>
        <w:tc>
          <w:tcPr>
            <w:tcW w:w="2263" w:type="dxa"/>
            <w:tcBorders>
              <w:tl2br w:val="nil"/>
              <w:tr2bl w:val="nil"/>
            </w:tcBorders>
            <w:noWrap w:val="0"/>
            <w:vAlign w:val="center"/>
          </w:tcPr>
          <w:p w14:paraId="34F04E33">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1</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416916E8">
            <w:pPr>
              <w:widowControl/>
              <w:autoSpaceDE/>
              <w:autoSpaceDN/>
              <w:spacing w:line="240" w:lineRule="auto"/>
              <w:jc w:val="center"/>
              <w:rPr>
                <w:rFonts w:hint="default"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2</w:t>
            </w:r>
          </w:p>
        </w:tc>
        <w:tc>
          <w:tcPr>
            <w:tcW w:w="673" w:type="dxa"/>
            <w:tcBorders>
              <w:tl2br w:val="nil"/>
              <w:tr2bl w:val="nil"/>
            </w:tcBorders>
            <w:noWrap w:val="0"/>
            <w:vAlign w:val="center"/>
          </w:tcPr>
          <w:p w14:paraId="71083DC4">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674B9A48">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74660114">
            <w:pPr>
              <w:widowControl/>
              <w:spacing w:line="300" w:lineRule="auto"/>
              <w:rPr>
                <w:rFonts w:hint="eastAsia" w:ascii="华文细黑" w:hAnsi="华文细黑" w:eastAsia="华文细黑" w:cs="华文细黑"/>
                <w:sz w:val="21"/>
                <w:szCs w:val="21"/>
                <w:highlight w:val="none"/>
              </w:rPr>
            </w:pPr>
          </w:p>
        </w:tc>
      </w:tr>
      <w:tr w14:paraId="75635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exact"/>
          <w:jc w:val="center"/>
        </w:trPr>
        <w:tc>
          <w:tcPr>
            <w:tcW w:w="966" w:type="dxa"/>
            <w:vMerge w:val="continue"/>
            <w:tcBorders>
              <w:tl2br w:val="nil"/>
              <w:tr2bl w:val="nil"/>
            </w:tcBorders>
            <w:noWrap w:val="0"/>
            <w:vAlign w:val="center"/>
          </w:tcPr>
          <w:p w14:paraId="07FE1FF1">
            <w:pPr>
              <w:spacing w:line="300" w:lineRule="auto"/>
              <w:jc w:val="center"/>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267132BF">
            <w:pPr>
              <w:keepNext w:val="0"/>
              <w:keepLines w:val="0"/>
              <w:widowControl/>
              <w:suppressLineNumbers w:val="0"/>
              <w:spacing w:line="240" w:lineRule="auto"/>
              <w:jc w:val="left"/>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color w:val="000000"/>
                <w:kern w:val="0"/>
                <w:sz w:val="13"/>
                <w:szCs w:val="13"/>
                <w:highlight w:val="none"/>
                <w:lang w:val="en-US" w:eastAsia="zh-CN" w:bidi="ar"/>
              </w:rPr>
              <w:t>对9号楼配电房及2号楼配电房提供24小时电力抢修服务，到场时间≤30分钟</w:t>
            </w:r>
          </w:p>
        </w:tc>
        <w:tc>
          <w:tcPr>
            <w:tcW w:w="2263" w:type="dxa"/>
            <w:tcBorders>
              <w:tl2br w:val="nil"/>
              <w:tr2bl w:val="nil"/>
            </w:tcBorders>
            <w:noWrap w:val="0"/>
            <w:vAlign w:val="center"/>
          </w:tcPr>
          <w:p w14:paraId="6C5A6ABD">
            <w:pPr>
              <w:spacing w:line="240" w:lineRule="auto"/>
              <w:jc w:val="center"/>
              <w:rPr>
                <w:rFonts w:hint="eastAsia" w:ascii="华文细黑" w:hAnsi="华文细黑" w:eastAsia="华文细黑" w:cs="华文细黑"/>
                <w:sz w:val="13"/>
                <w:szCs w:val="13"/>
                <w:highlight w:val="none"/>
                <w:lang w:val="en-US"/>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5</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55A9E5EF">
            <w:pPr>
              <w:spacing w:line="240" w:lineRule="auto"/>
              <w:jc w:val="center"/>
              <w:rPr>
                <w:rFonts w:hint="eastAsia" w:ascii="华文细黑" w:hAnsi="华文细黑" w:eastAsia="华文细黑" w:cs="华文细黑"/>
                <w:b/>
                <w:bCs/>
                <w:sz w:val="13"/>
                <w:szCs w:val="13"/>
                <w:highlight w:val="none"/>
                <w:lang w:val="en-US" w:eastAsia="zh-CN"/>
              </w:rPr>
            </w:pPr>
            <w:r>
              <w:rPr>
                <w:rFonts w:hint="eastAsia" w:ascii="华文细黑" w:hAnsi="华文细黑" w:eastAsia="华文细黑" w:cs="华文细黑"/>
                <w:b/>
                <w:bCs/>
                <w:sz w:val="13"/>
                <w:szCs w:val="13"/>
                <w:highlight w:val="none"/>
                <w:lang w:val="en-US" w:eastAsia="zh-CN"/>
              </w:rPr>
              <w:t>10</w:t>
            </w:r>
          </w:p>
        </w:tc>
        <w:tc>
          <w:tcPr>
            <w:tcW w:w="673" w:type="dxa"/>
            <w:tcBorders>
              <w:tl2br w:val="nil"/>
              <w:tr2bl w:val="nil"/>
            </w:tcBorders>
            <w:noWrap w:val="0"/>
            <w:vAlign w:val="center"/>
          </w:tcPr>
          <w:p w14:paraId="65B0DD95">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52611FDC">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29E2783C">
            <w:pPr>
              <w:widowControl/>
              <w:spacing w:line="300" w:lineRule="auto"/>
              <w:rPr>
                <w:rFonts w:hint="eastAsia" w:ascii="华文细黑" w:hAnsi="华文细黑" w:eastAsia="华文细黑" w:cs="华文细黑"/>
                <w:sz w:val="21"/>
                <w:szCs w:val="21"/>
                <w:highlight w:val="none"/>
              </w:rPr>
            </w:pPr>
          </w:p>
        </w:tc>
      </w:tr>
      <w:tr w14:paraId="27BD6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exact"/>
          <w:jc w:val="center"/>
        </w:trPr>
        <w:tc>
          <w:tcPr>
            <w:tcW w:w="966" w:type="dxa"/>
            <w:vMerge w:val="restart"/>
            <w:tcBorders>
              <w:tl2br w:val="nil"/>
              <w:tr2bl w:val="nil"/>
            </w:tcBorders>
            <w:noWrap w:val="0"/>
            <w:vAlign w:val="center"/>
          </w:tcPr>
          <w:p w14:paraId="669CD6B9">
            <w:pPr>
              <w:spacing w:line="300" w:lineRule="auto"/>
              <w:jc w:val="center"/>
              <w:rPr>
                <w:rFonts w:hint="eastAsia" w:ascii="华文细黑" w:hAnsi="华文细黑" w:eastAsia="华文细黑" w:cs="华文细黑"/>
                <w:b/>
                <w:bCs/>
                <w:sz w:val="18"/>
                <w:szCs w:val="18"/>
                <w:highlight w:val="none"/>
                <w:lang w:val="en-US"/>
              </w:rPr>
            </w:pPr>
            <w:r>
              <w:rPr>
                <w:rFonts w:hint="default" w:ascii="华文细黑" w:hAnsi="华文细黑" w:eastAsia="华文细黑" w:cs="华文细黑"/>
                <w:b/>
                <w:bCs/>
                <w:sz w:val="18"/>
                <w:szCs w:val="18"/>
                <w:highlight w:val="none"/>
                <w:lang w:val="en-US" w:eastAsia="zh-CN"/>
              </w:rPr>
              <w:t>10KV高压专线（双路）</w:t>
            </w:r>
            <w:r>
              <w:rPr>
                <w:rFonts w:hint="eastAsia" w:ascii="华文细黑" w:hAnsi="华文细黑" w:eastAsia="华文细黑" w:cs="华文细黑"/>
                <w:b/>
                <w:bCs/>
                <w:sz w:val="18"/>
                <w:szCs w:val="18"/>
                <w:highlight w:val="none"/>
                <w:lang w:val="en-US" w:eastAsia="zh-CN"/>
              </w:rPr>
              <w:t>运维</w:t>
            </w:r>
            <w:r>
              <w:rPr>
                <w:rFonts w:hint="eastAsia" w:ascii="华文细黑" w:hAnsi="华文细黑" w:eastAsia="华文细黑" w:cs="华文细黑"/>
                <w:b/>
                <w:bCs/>
                <w:sz w:val="18"/>
                <w:szCs w:val="18"/>
                <w:highlight w:val="none"/>
                <w:lang w:val="en-US"/>
              </w:rPr>
              <w:t>岗位质量</w:t>
            </w:r>
          </w:p>
          <w:p w14:paraId="6B712CB8">
            <w:pPr>
              <w:spacing w:line="300" w:lineRule="auto"/>
              <w:jc w:val="center"/>
              <w:rPr>
                <w:rFonts w:hint="eastAsia" w:ascii="华文细黑" w:hAnsi="华文细黑" w:eastAsia="华文细黑" w:cs="华文细黑"/>
                <w:b/>
                <w:bCs/>
                <w:sz w:val="18"/>
                <w:szCs w:val="18"/>
                <w:highlight w:val="none"/>
              </w:rPr>
            </w:pPr>
            <w:r>
              <w:rPr>
                <w:rFonts w:hint="eastAsia" w:ascii="华文细黑" w:hAnsi="华文细黑" w:eastAsia="华文细黑" w:cs="华文细黑"/>
                <w:b/>
                <w:bCs/>
                <w:sz w:val="18"/>
                <w:szCs w:val="18"/>
                <w:highlight w:val="none"/>
                <w:lang w:val="en-US"/>
              </w:rPr>
              <w:t>(</w:t>
            </w:r>
            <w:r>
              <w:rPr>
                <w:rFonts w:hint="eastAsia" w:ascii="华文细黑" w:hAnsi="华文细黑" w:eastAsia="华文细黑" w:cs="华文细黑"/>
                <w:b/>
                <w:bCs/>
                <w:sz w:val="18"/>
                <w:szCs w:val="18"/>
                <w:highlight w:val="none"/>
                <w:lang w:val="en-US" w:eastAsia="zh-CN"/>
              </w:rPr>
              <w:t>28</w:t>
            </w:r>
            <w:r>
              <w:rPr>
                <w:rFonts w:hint="eastAsia" w:ascii="华文细黑" w:hAnsi="华文细黑" w:eastAsia="华文细黑" w:cs="华文细黑"/>
                <w:b/>
                <w:bCs/>
                <w:sz w:val="18"/>
                <w:szCs w:val="18"/>
                <w:highlight w:val="none"/>
                <w:lang w:val="en-US"/>
              </w:rPr>
              <w:t>分)</w:t>
            </w:r>
          </w:p>
          <w:p w14:paraId="0209723E">
            <w:pPr>
              <w:spacing w:line="300" w:lineRule="auto"/>
              <w:jc w:val="center"/>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469E7172">
            <w:pPr>
              <w:keepNext w:val="0"/>
              <w:keepLines w:val="0"/>
              <w:widowControl/>
              <w:suppressLineNumbers w:val="0"/>
              <w:spacing w:line="240" w:lineRule="auto"/>
              <w:jc w:val="left"/>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color w:val="000000"/>
                <w:kern w:val="0"/>
                <w:sz w:val="13"/>
                <w:szCs w:val="13"/>
                <w:highlight w:val="none"/>
                <w:lang w:val="en-US" w:eastAsia="zh-CN" w:bidi="ar"/>
              </w:rPr>
              <w:t>每月对2路10kV高压线（西门线、锦湖线）及沿途分支箱、院内户外环网柜巡检2次，拍照留证并向院方提供巡检报告，双方签字确认</w:t>
            </w:r>
          </w:p>
          <w:p w14:paraId="7772C758">
            <w:pPr>
              <w:keepNext w:val="0"/>
              <w:keepLines w:val="0"/>
              <w:widowControl/>
              <w:suppressLineNumbers w:val="0"/>
              <w:spacing w:line="240" w:lineRule="auto"/>
              <w:jc w:val="left"/>
              <w:rPr>
                <w:rFonts w:hint="eastAsia" w:ascii="华文细黑" w:hAnsi="华文细黑" w:eastAsia="华文细黑" w:cs="华文细黑"/>
                <w:color w:val="000000"/>
                <w:kern w:val="0"/>
                <w:sz w:val="13"/>
                <w:szCs w:val="13"/>
                <w:highlight w:val="none"/>
                <w:lang w:val="en-US" w:eastAsia="zh-CN" w:bidi="ar"/>
              </w:rPr>
            </w:pPr>
          </w:p>
        </w:tc>
        <w:tc>
          <w:tcPr>
            <w:tcW w:w="2263" w:type="dxa"/>
            <w:tcBorders>
              <w:tl2br w:val="nil"/>
              <w:tr2bl w:val="nil"/>
            </w:tcBorders>
            <w:noWrap w:val="0"/>
            <w:vAlign w:val="center"/>
          </w:tcPr>
          <w:p w14:paraId="70E733BD">
            <w:pPr>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2</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76AAFCE5">
            <w:pPr>
              <w:spacing w:line="240" w:lineRule="auto"/>
              <w:jc w:val="center"/>
              <w:rPr>
                <w:rFonts w:hint="default"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b/>
                <w:bCs/>
                <w:sz w:val="13"/>
                <w:szCs w:val="13"/>
                <w:highlight w:val="none"/>
                <w:lang w:val="en-US" w:eastAsia="zh-CN"/>
              </w:rPr>
              <w:t>4</w:t>
            </w:r>
          </w:p>
        </w:tc>
        <w:tc>
          <w:tcPr>
            <w:tcW w:w="673" w:type="dxa"/>
            <w:tcBorders>
              <w:tl2br w:val="nil"/>
              <w:tr2bl w:val="nil"/>
            </w:tcBorders>
            <w:noWrap w:val="0"/>
            <w:vAlign w:val="center"/>
          </w:tcPr>
          <w:p w14:paraId="12E0079A">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294B88CB">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17970E9C">
            <w:pPr>
              <w:widowControl/>
              <w:spacing w:line="300" w:lineRule="auto"/>
              <w:rPr>
                <w:rFonts w:hint="eastAsia" w:ascii="华文细黑" w:hAnsi="华文细黑" w:eastAsia="华文细黑" w:cs="华文细黑"/>
                <w:sz w:val="21"/>
                <w:szCs w:val="21"/>
                <w:highlight w:val="none"/>
              </w:rPr>
            </w:pPr>
          </w:p>
        </w:tc>
      </w:tr>
      <w:tr w14:paraId="6C171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jc w:val="center"/>
        </w:trPr>
        <w:tc>
          <w:tcPr>
            <w:tcW w:w="966" w:type="dxa"/>
            <w:vMerge w:val="continue"/>
            <w:tcBorders>
              <w:tl2br w:val="nil"/>
              <w:tr2bl w:val="nil"/>
            </w:tcBorders>
            <w:noWrap w:val="0"/>
            <w:vAlign w:val="center"/>
          </w:tcPr>
          <w:p w14:paraId="1B10B40F">
            <w:pPr>
              <w:spacing w:line="300" w:lineRule="auto"/>
              <w:jc w:val="center"/>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0F78C550">
            <w:pPr>
              <w:keepNext w:val="0"/>
              <w:keepLines w:val="0"/>
              <w:widowControl/>
              <w:suppressLineNumbers w:val="0"/>
              <w:spacing w:line="240" w:lineRule="auto"/>
              <w:jc w:val="left"/>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color w:val="000000"/>
                <w:kern w:val="0"/>
                <w:sz w:val="13"/>
                <w:szCs w:val="13"/>
                <w:highlight w:val="none"/>
                <w:lang w:val="en-US" w:eastAsia="zh-CN" w:bidi="ar"/>
              </w:rPr>
              <w:t>在巡检中如发现安全隐患须立即通知院方，制定隐患整改方案，报院方批准后立即实施</w:t>
            </w:r>
          </w:p>
        </w:tc>
        <w:tc>
          <w:tcPr>
            <w:tcW w:w="2263" w:type="dxa"/>
            <w:tcBorders>
              <w:tl2br w:val="nil"/>
              <w:tr2bl w:val="nil"/>
            </w:tcBorders>
            <w:noWrap w:val="0"/>
            <w:vAlign w:val="center"/>
          </w:tcPr>
          <w:p w14:paraId="2F627A14">
            <w:pPr>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2</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006D48AE">
            <w:pPr>
              <w:spacing w:line="240" w:lineRule="auto"/>
              <w:jc w:val="center"/>
              <w:rPr>
                <w:rFonts w:hint="default"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b/>
                <w:bCs/>
                <w:sz w:val="13"/>
                <w:szCs w:val="13"/>
                <w:highlight w:val="none"/>
                <w:lang w:val="en-US" w:eastAsia="zh-CN"/>
              </w:rPr>
              <w:t>4</w:t>
            </w:r>
          </w:p>
        </w:tc>
        <w:tc>
          <w:tcPr>
            <w:tcW w:w="673" w:type="dxa"/>
            <w:tcBorders>
              <w:tl2br w:val="nil"/>
              <w:tr2bl w:val="nil"/>
            </w:tcBorders>
            <w:noWrap w:val="0"/>
            <w:vAlign w:val="center"/>
          </w:tcPr>
          <w:p w14:paraId="7DDA5B54">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713AB526">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47F2747B">
            <w:pPr>
              <w:widowControl/>
              <w:spacing w:line="300" w:lineRule="auto"/>
              <w:rPr>
                <w:rFonts w:hint="eastAsia" w:ascii="华文细黑" w:hAnsi="华文细黑" w:eastAsia="华文细黑" w:cs="华文细黑"/>
                <w:sz w:val="21"/>
                <w:szCs w:val="21"/>
                <w:highlight w:val="none"/>
              </w:rPr>
            </w:pPr>
          </w:p>
        </w:tc>
      </w:tr>
      <w:tr w14:paraId="56C5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exact"/>
          <w:jc w:val="center"/>
        </w:trPr>
        <w:tc>
          <w:tcPr>
            <w:tcW w:w="966" w:type="dxa"/>
            <w:vMerge w:val="continue"/>
            <w:tcBorders>
              <w:tl2br w:val="nil"/>
              <w:tr2bl w:val="nil"/>
            </w:tcBorders>
            <w:noWrap w:val="0"/>
            <w:vAlign w:val="center"/>
          </w:tcPr>
          <w:p w14:paraId="16062AA1">
            <w:pPr>
              <w:spacing w:line="300" w:lineRule="auto"/>
              <w:jc w:val="center"/>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77BAEDBD">
            <w:pPr>
              <w:keepNext w:val="0"/>
              <w:keepLines w:val="0"/>
              <w:widowControl/>
              <w:suppressLineNumbers w:val="0"/>
              <w:spacing w:line="240" w:lineRule="auto"/>
              <w:jc w:val="left"/>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color w:val="000000"/>
                <w:kern w:val="0"/>
                <w:sz w:val="13"/>
                <w:szCs w:val="13"/>
                <w:highlight w:val="none"/>
                <w:lang w:val="en-US" w:eastAsia="zh-CN" w:bidi="ar"/>
              </w:rPr>
              <w:t>巡视报告中的内容和照片等应真实，不得弄虚作假</w:t>
            </w:r>
          </w:p>
        </w:tc>
        <w:tc>
          <w:tcPr>
            <w:tcW w:w="2263" w:type="dxa"/>
            <w:tcBorders>
              <w:tl2br w:val="nil"/>
              <w:tr2bl w:val="nil"/>
            </w:tcBorders>
            <w:noWrap w:val="0"/>
            <w:vAlign w:val="center"/>
          </w:tcPr>
          <w:p w14:paraId="3B0741D3">
            <w:pPr>
              <w:widowControl/>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2</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070DC526">
            <w:pPr>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b/>
                <w:bCs/>
                <w:sz w:val="13"/>
                <w:szCs w:val="13"/>
                <w:highlight w:val="none"/>
                <w:lang w:val="en-US" w:eastAsia="zh-CN"/>
              </w:rPr>
              <w:t>4</w:t>
            </w:r>
          </w:p>
        </w:tc>
        <w:tc>
          <w:tcPr>
            <w:tcW w:w="673" w:type="dxa"/>
            <w:tcBorders>
              <w:tl2br w:val="nil"/>
              <w:tr2bl w:val="nil"/>
            </w:tcBorders>
            <w:noWrap w:val="0"/>
            <w:vAlign w:val="center"/>
          </w:tcPr>
          <w:p w14:paraId="10EBBC2C">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545284BE">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61E8414E">
            <w:pPr>
              <w:widowControl/>
              <w:spacing w:line="300" w:lineRule="auto"/>
              <w:rPr>
                <w:rFonts w:hint="eastAsia" w:ascii="华文细黑" w:hAnsi="华文细黑" w:eastAsia="华文细黑" w:cs="华文细黑"/>
                <w:sz w:val="21"/>
                <w:szCs w:val="21"/>
                <w:highlight w:val="none"/>
              </w:rPr>
            </w:pPr>
          </w:p>
        </w:tc>
      </w:tr>
      <w:tr w14:paraId="77DDB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jc w:val="center"/>
        </w:trPr>
        <w:tc>
          <w:tcPr>
            <w:tcW w:w="966" w:type="dxa"/>
            <w:vMerge w:val="continue"/>
            <w:tcBorders>
              <w:tl2br w:val="nil"/>
              <w:tr2bl w:val="nil"/>
            </w:tcBorders>
            <w:noWrap w:val="0"/>
            <w:vAlign w:val="center"/>
          </w:tcPr>
          <w:p w14:paraId="73D68361">
            <w:pPr>
              <w:spacing w:line="300" w:lineRule="auto"/>
              <w:jc w:val="center"/>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5E3D1F4C">
            <w:pPr>
              <w:keepNext w:val="0"/>
              <w:keepLines w:val="0"/>
              <w:widowControl/>
              <w:suppressLineNumbers w:val="0"/>
              <w:spacing w:line="240" w:lineRule="auto"/>
              <w:jc w:val="left"/>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color w:val="000000"/>
                <w:kern w:val="0"/>
                <w:sz w:val="13"/>
                <w:szCs w:val="13"/>
                <w:highlight w:val="none"/>
                <w:lang w:val="en-US" w:eastAsia="zh-CN" w:bidi="ar"/>
              </w:rPr>
              <w:t>接到线路故障抢修通知后，抢修人员到场时间＜30分钟，施工期间如需停电，由维保方负责与当地供电公司协调</w:t>
            </w:r>
          </w:p>
        </w:tc>
        <w:tc>
          <w:tcPr>
            <w:tcW w:w="2263" w:type="dxa"/>
            <w:tcBorders>
              <w:tl2br w:val="nil"/>
              <w:tr2bl w:val="nil"/>
            </w:tcBorders>
            <w:noWrap w:val="0"/>
            <w:vAlign w:val="center"/>
          </w:tcPr>
          <w:p w14:paraId="6B2C2982">
            <w:pPr>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5</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5FE71C81">
            <w:pPr>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b/>
                <w:bCs/>
                <w:sz w:val="13"/>
                <w:szCs w:val="13"/>
                <w:highlight w:val="none"/>
                <w:lang w:val="en-US" w:eastAsia="zh-CN"/>
              </w:rPr>
              <w:t>10</w:t>
            </w:r>
          </w:p>
        </w:tc>
        <w:tc>
          <w:tcPr>
            <w:tcW w:w="673" w:type="dxa"/>
            <w:tcBorders>
              <w:tl2br w:val="nil"/>
              <w:tr2bl w:val="nil"/>
            </w:tcBorders>
            <w:noWrap w:val="0"/>
            <w:vAlign w:val="center"/>
          </w:tcPr>
          <w:p w14:paraId="517D0B5F">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2DC07692">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0AE8A604">
            <w:pPr>
              <w:widowControl/>
              <w:spacing w:line="300" w:lineRule="auto"/>
              <w:rPr>
                <w:rFonts w:hint="eastAsia" w:ascii="华文细黑" w:hAnsi="华文细黑" w:eastAsia="华文细黑" w:cs="华文细黑"/>
                <w:sz w:val="21"/>
                <w:szCs w:val="21"/>
                <w:highlight w:val="none"/>
              </w:rPr>
            </w:pPr>
          </w:p>
        </w:tc>
      </w:tr>
      <w:tr w14:paraId="2244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exact"/>
          <w:jc w:val="center"/>
        </w:trPr>
        <w:tc>
          <w:tcPr>
            <w:tcW w:w="966" w:type="dxa"/>
            <w:vMerge w:val="continue"/>
            <w:tcBorders>
              <w:tl2br w:val="nil"/>
              <w:tr2bl w:val="nil"/>
            </w:tcBorders>
            <w:noWrap w:val="0"/>
            <w:vAlign w:val="center"/>
          </w:tcPr>
          <w:p w14:paraId="3A2F8527">
            <w:pPr>
              <w:spacing w:line="300" w:lineRule="auto"/>
              <w:jc w:val="center"/>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4C85358C">
            <w:pPr>
              <w:keepNext w:val="0"/>
              <w:keepLines w:val="0"/>
              <w:widowControl/>
              <w:suppressLineNumbers w:val="0"/>
              <w:spacing w:line="240" w:lineRule="auto"/>
              <w:jc w:val="left"/>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color w:val="000000"/>
                <w:kern w:val="0"/>
                <w:sz w:val="13"/>
                <w:szCs w:val="13"/>
                <w:highlight w:val="none"/>
                <w:lang w:val="en-US" w:eastAsia="zh-CN" w:bidi="ar"/>
              </w:rPr>
              <w:t>如巡线期间遇外破施工（打桩施工、吊车作业、挖掘机施工等）需及时拍摄照片上报院方</w:t>
            </w:r>
          </w:p>
        </w:tc>
        <w:tc>
          <w:tcPr>
            <w:tcW w:w="2263" w:type="dxa"/>
            <w:tcBorders>
              <w:tl2br w:val="nil"/>
              <w:tr2bl w:val="nil"/>
            </w:tcBorders>
            <w:noWrap w:val="0"/>
            <w:vAlign w:val="center"/>
          </w:tcPr>
          <w:p w14:paraId="5FC8DCF7">
            <w:pPr>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1</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7128D6F3">
            <w:pPr>
              <w:widowControl/>
              <w:autoSpaceDE/>
              <w:autoSpaceDN/>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b/>
                <w:bCs/>
                <w:sz w:val="13"/>
                <w:szCs w:val="13"/>
                <w:highlight w:val="none"/>
                <w:lang w:val="en-US" w:eastAsia="zh-CN"/>
              </w:rPr>
              <w:t>3</w:t>
            </w:r>
          </w:p>
        </w:tc>
        <w:tc>
          <w:tcPr>
            <w:tcW w:w="673" w:type="dxa"/>
            <w:tcBorders>
              <w:tl2br w:val="nil"/>
              <w:tr2bl w:val="nil"/>
            </w:tcBorders>
            <w:noWrap w:val="0"/>
            <w:vAlign w:val="center"/>
          </w:tcPr>
          <w:p w14:paraId="3E9CB9F1">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344D9D04">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47BC99D3">
            <w:pPr>
              <w:widowControl/>
              <w:spacing w:line="300" w:lineRule="auto"/>
              <w:rPr>
                <w:rFonts w:hint="eastAsia" w:ascii="华文细黑" w:hAnsi="华文细黑" w:eastAsia="华文细黑" w:cs="华文细黑"/>
                <w:sz w:val="21"/>
                <w:szCs w:val="21"/>
                <w:highlight w:val="none"/>
              </w:rPr>
            </w:pPr>
          </w:p>
        </w:tc>
      </w:tr>
      <w:tr w14:paraId="0FEC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exact"/>
          <w:jc w:val="center"/>
        </w:trPr>
        <w:tc>
          <w:tcPr>
            <w:tcW w:w="966" w:type="dxa"/>
            <w:vMerge w:val="continue"/>
            <w:tcBorders>
              <w:tl2br w:val="nil"/>
              <w:tr2bl w:val="nil"/>
            </w:tcBorders>
            <w:noWrap w:val="0"/>
            <w:vAlign w:val="center"/>
          </w:tcPr>
          <w:p w14:paraId="3450E96C">
            <w:pPr>
              <w:spacing w:line="300" w:lineRule="auto"/>
              <w:jc w:val="center"/>
              <w:rPr>
                <w:rFonts w:hint="eastAsia" w:ascii="华文细黑" w:hAnsi="华文细黑" w:eastAsia="华文细黑" w:cs="华文细黑"/>
                <w:b/>
                <w:bCs/>
                <w:sz w:val="18"/>
                <w:szCs w:val="18"/>
                <w:highlight w:val="none"/>
              </w:rPr>
            </w:pPr>
          </w:p>
        </w:tc>
        <w:tc>
          <w:tcPr>
            <w:tcW w:w="4131" w:type="dxa"/>
            <w:tcBorders>
              <w:tl2br w:val="nil"/>
              <w:tr2bl w:val="nil"/>
            </w:tcBorders>
            <w:noWrap w:val="0"/>
            <w:vAlign w:val="center"/>
          </w:tcPr>
          <w:p w14:paraId="0AA6248A">
            <w:pPr>
              <w:keepNext w:val="0"/>
              <w:keepLines w:val="0"/>
              <w:widowControl/>
              <w:suppressLineNumbers w:val="0"/>
              <w:spacing w:line="240" w:lineRule="auto"/>
              <w:jc w:val="left"/>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color w:val="000000"/>
                <w:kern w:val="0"/>
                <w:sz w:val="13"/>
                <w:szCs w:val="13"/>
                <w:highlight w:val="none"/>
                <w:lang w:val="en-US" w:eastAsia="zh-CN" w:bidi="ar"/>
              </w:rPr>
              <w:t>维修更换下来的故障配件及时交于院方处置</w:t>
            </w:r>
          </w:p>
        </w:tc>
        <w:tc>
          <w:tcPr>
            <w:tcW w:w="2263" w:type="dxa"/>
            <w:tcBorders>
              <w:tl2br w:val="nil"/>
              <w:tr2bl w:val="nil"/>
            </w:tcBorders>
            <w:noWrap w:val="0"/>
            <w:vAlign w:val="center"/>
          </w:tcPr>
          <w:p w14:paraId="4A4CB49B">
            <w:pPr>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sz w:val="13"/>
                <w:szCs w:val="13"/>
                <w:highlight w:val="none"/>
                <w:lang w:val="en-US"/>
              </w:rPr>
              <w:t>每发现一次不符合要求扣</w:t>
            </w:r>
            <w:r>
              <w:rPr>
                <w:rFonts w:hint="eastAsia" w:ascii="华文细黑" w:hAnsi="华文细黑" w:eastAsia="华文细黑" w:cs="华文细黑"/>
                <w:sz w:val="13"/>
                <w:szCs w:val="13"/>
                <w:highlight w:val="none"/>
                <w:lang w:val="en-US" w:eastAsia="zh-CN"/>
              </w:rPr>
              <w:t>1</w:t>
            </w:r>
            <w:r>
              <w:rPr>
                <w:rFonts w:hint="eastAsia" w:ascii="华文细黑" w:hAnsi="华文细黑" w:eastAsia="华文细黑" w:cs="华文细黑"/>
                <w:sz w:val="13"/>
                <w:szCs w:val="13"/>
                <w:highlight w:val="none"/>
                <w:lang w:val="en-US"/>
              </w:rPr>
              <w:t>分</w:t>
            </w:r>
          </w:p>
        </w:tc>
        <w:tc>
          <w:tcPr>
            <w:tcW w:w="673" w:type="dxa"/>
            <w:tcBorders>
              <w:tl2br w:val="nil"/>
              <w:tr2bl w:val="nil"/>
            </w:tcBorders>
            <w:noWrap w:val="0"/>
            <w:vAlign w:val="center"/>
          </w:tcPr>
          <w:p w14:paraId="18AB4E9B">
            <w:pPr>
              <w:widowControl/>
              <w:autoSpaceDE/>
              <w:autoSpaceDN/>
              <w:spacing w:line="240" w:lineRule="auto"/>
              <w:jc w:val="center"/>
              <w:rPr>
                <w:rFonts w:hint="eastAsia" w:ascii="华文细黑" w:hAnsi="华文细黑" w:eastAsia="华文细黑" w:cs="华文细黑"/>
                <w:color w:val="000000"/>
                <w:kern w:val="0"/>
                <w:sz w:val="13"/>
                <w:szCs w:val="13"/>
                <w:highlight w:val="none"/>
                <w:lang w:val="en-US" w:eastAsia="zh-CN" w:bidi="ar"/>
              </w:rPr>
            </w:pPr>
            <w:r>
              <w:rPr>
                <w:rFonts w:hint="eastAsia" w:ascii="华文细黑" w:hAnsi="华文细黑" w:eastAsia="华文细黑" w:cs="华文细黑"/>
                <w:b/>
                <w:bCs/>
                <w:sz w:val="13"/>
                <w:szCs w:val="13"/>
                <w:highlight w:val="none"/>
                <w:lang w:val="en-US" w:eastAsia="zh-CN"/>
              </w:rPr>
              <w:t>3</w:t>
            </w:r>
          </w:p>
        </w:tc>
        <w:tc>
          <w:tcPr>
            <w:tcW w:w="673" w:type="dxa"/>
            <w:tcBorders>
              <w:tl2br w:val="nil"/>
              <w:tr2bl w:val="nil"/>
            </w:tcBorders>
            <w:noWrap w:val="0"/>
            <w:vAlign w:val="center"/>
          </w:tcPr>
          <w:p w14:paraId="130D1EF8">
            <w:pPr>
              <w:widowControl/>
              <w:spacing w:line="300" w:lineRule="auto"/>
              <w:rPr>
                <w:rFonts w:hint="eastAsia" w:ascii="华文细黑" w:hAnsi="华文细黑" w:eastAsia="华文细黑" w:cs="华文细黑"/>
                <w:sz w:val="21"/>
                <w:szCs w:val="21"/>
                <w:highlight w:val="none"/>
              </w:rPr>
            </w:pPr>
          </w:p>
        </w:tc>
        <w:tc>
          <w:tcPr>
            <w:tcW w:w="673" w:type="dxa"/>
            <w:tcBorders>
              <w:tl2br w:val="nil"/>
              <w:tr2bl w:val="nil"/>
            </w:tcBorders>
            <w:noWrap w:val="0"/>
            <w:vAlign w:val="center"/>
          </w:tcPr>
          <w:p w14:paraId="56CE5F19">
            <w:pPr>
              <w:widowControl/>
              <w:spacing w:line="300" w:lineRule="auto"/>
              <w:rPr>
                <w:rFonts w:hint="eastAsia" w:ascii="华文细黑" w:hAnsi="华文细黑" w:eastAsia="华文细黑" w:cs="华文细黑"/>
                <w:sz w:val="21"/>
                <w:szCs w:val="21"/>
                <w:highlight w:val="none"/>
              </w:rPr>
            </w:pPr>
          </w:p>
        </w:tc>
        <w:tc>
          <w:tcPr>
            <w:tcW w:w="676" w:type="dxa"/>
            <w:tcBorders>
              <w:tl2br w:val="nil"/>
              <w:tr2bl w:val="nil"/>
            </w:tcBorders>
            <w:noWrap w:val="0"/>
            <w:vAlign w:val="center"/>
          </w:tcPr>
          <w:p w14:paraId="7812255A">
            <w:pPr>
              <w:widowControl/>
              <w:spacing w:line="300" w:lineRule="auto"/>
              <w:rPr>
                <w:rFonts w:hint="eastAsia" w:ascii="华文细黑" w:hAnsi="华文细黑" w:eastAsia="华文细黑" w:cs="华文细黑"/>
                <w:sz w:val="21"/>
                <w:szCs w:val="21"/>
                <w:highlight w:val="none"/>
              </w:rPr>
            </w:pPr>
          </w:p>
        </w:tc>
      </w:tr>
      <w:tr w14:paraId="1FDB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jc w:val="center"/>
        </w:trPr>
        <w:tc>
          <w:tcPr>
            <w:tcW w:w="966" w:type="dxa"/>
            <w:tcBorders>
              <w:tl2br w:val="nil"/>
              <w:tr2bl w:val="nil"/>
            </w:tcBorders>
            <w:noWrap w:val="0"/>
            <w:vAlign w:val="center"/>
          </w:tcPr>
          <w:p w14:paraId="48C5CEAF">
            <w:pPr>
              <w:spacing w:line="300" w:lineRule="auto"/>
              <w:jc w:val="center"/>
              <w:rPr>
                <w:rFonts w:hint="eastAsia" w:ascii="华文细黑" w:hAnsi="华文细黑" w:eastAsia="华文细黑" w:cs="华文细黑"/>
                <w:b/>
                <w:bCs/>
                <w:sz w:val="18"/>
                <w:szCs w:val="18"/>
                <w:highlight w:val="none"/>
                <w:lang w:val="en-US" w:eastAsia="zh-CN"/>
              </w:rPr>
            </w:pPr>
            <w:r>
              <w:rPr>
                <w:rFonts w:hint="eastAsia" w:ascii="华文细黑" w:hAnsi="华文细黑" w:eastAsia="华文细黑" w:cs="华文细黑"/>
                <w:b/>
                <w:bCs/>
                <w:sz w:val="18"/>
                <w:szCs w:val="18"/>
                <w:highlight w:val="none"/>
                <w:lang w:val="en-US" w:eastAsia="zh-CN"/>
              </w:rPr>
              <w:t>总分</w:t>
            </w:r>
          </w:p>
        </w:tc>
        <w:tc>
          <w:tcPr>
            <w:tcW w:w="9089" w:type="dxa"/>
            <w:gridSpan w:val="6"/>
            <w:tcBorders>
              <w:tl2br w:val="nil"/>
              <w:tr2bl w:val="nil"/>
            </w:tcBorders>
            <w:noWrap w:val="0"/>
            <w:vAlign w:val="center"/>
          </w:tcPr>
          <w:p w14:paraId="788D5C13">
            <w:pPr>
              <w:widowControl/>
              <w:spacing w:line="300" w:lineRule="auto"/>
              <w:rPr>
                <w:rFonts w:hint="eastAsia" w:ascii="华文细黑" w:hAnsi="华文细黑" w:eastAsia="华文细黑" w:cs="华文细黑"/>
                <w:sz w:val="21"/>
                <w:szCs w:val="21"/>
                <w:highlight w:val="none"/>
              </w:rPr>
            </w:pPr>
          </w:p>
        </w:tc>
      </w:tr>
    </w:tbl>
    <w:p w14:paraId="091F1D49">
      <w:pPr>
        <w:keepNext w:val="0"/>
        <w:keepLines w:val="0"/>
        <w:widowControl/>
        <w:suppressLineNumbers w:val="0"/>
        <w:jc w:val="left"/>
        <w:rPr>
          <w:rFonts w:hint="eastAsia" w:ascii="华文细黑" w:hAnsi="华文细黑" w:eastAsia="华文细黑" w:cs="华文细黑"/>
          <w:sz w:val="28"/>
          <w:szCs w:val="28"/>
          <w:highlight w:val="none"/>
          <w:lang w:val="en-US" w:eastAsia="zh-CN"/>
        </w:rPr>
      </w:pPr>
      <w:r>
        <w:rPr>
          <w:rFonts w:hint="eastAsia" w:ascii="华文细黑" w:hAnsi="华文细黑" w:eastAsia="华文细黑" w:cs="华文细黑"/>
          <w:color w:val="auto"/>
          <w:sz w:val="24"/>
          <w:szCs w:val="24"/>
          <w:highlight w:val="none"/>
          <w:lang w:val="en-US" w:eastAsia="zh-CN"/>
        </w:rPr>
        <w:t>考核日期：                                             考核人：</w:t>
      </w:r>
    </w:p>
    <w:p w14:paraId="15073B5C">
      <w:pPr>
        <w:numPr>
          <w:ilvl w:val="0"/>
          <w:numId w:val="0"/>
        </w:numPr>
        <w:rPr>
          <w:rFonts w:hint="eastAsia" w:ascii="华文细黑" w:hAnsi="华文细黑" w:eastAsia="华文细黑" w:cs="华文细黑"/>
          <w:sz w:val="24"/>
          <w:szCs w:val="24"/>
          <w:highlight w:val="none"/>
          <w:lang w:val="en-US" w:eastAsia="zh-CN"/>
        </w:rPr>
      </w:pPr>
    </w:p>
    <w:p w14:paraId="7A276ADE">
      <w:pPr>
        <w:rPr>
          <w:rFonts w:hint="eastAsia"/>
          <w:highlight w:val="none"/>
        </w:rPr>
        <w:sectPr>
          <w:pgSz w:w="11906" w:h="16838"/>
          <w:pgMar w:top="1440" w:right="1270" w:bottom="1440" w:left="1270" w:header="851" w:footer="992" w:gutter="0"/>
          <w:cols w:space="1701" w:num="1"/>
          <w:titlePg/>
          <w:docGrid w:linePitch="360" w:charSpace="0"/>
        </w:sectPr>
      </w:pPr>
    </w:p>
    <w:p w14:paraId="5CBE846A">
      <w:pPr>
        <w:pStyle w:val="187"/>
        <w:jc w:val="center"/>
        <w:rPr>
          <w:rFonts w:ascii="宋体" w:hAnsi="宋体"/>
          <w:color w:val="000000"/>
          <w:sz w:val="36"/>
          <w:highlight w:val="none"/>
        </w:rPr>
      </w:pPr>
      <w:bookmarkStart w:id="267" w:name="_Toc73365512"/>
      <w:bookmarkStart w:id="268" w:name="_Toc73364899"/>
      <w:bookmarkStart w:id="269" w:name="_Toc31438"/>
      <w:bookmarkStart w:id="270" w:name="OLE_LINK3"/>
      <w:r>
        <w:rPr>
          <w:rFonts w:ascii="宋体" w:hAnsi="宋体"/>
          <w:color w:val="000000"/>
          <w:sz w:val="36"/>
          <w:highlight w:val="none"/>
        </w:rPr>
        <w:t>第四部分</w:t>
      </w:r>
      <w:r>
        <w:rPr>
          <w:rFonts w:hint="eastAsia" w:ascii="宋体" w:hAnsi="宋体"/>
          <w:color w:val="000000"/>
          <w:sz w:val="36"/>
          <w:highlight w:val="none"/>
        </w:rPr>
        <w:t xml:space="preserve">  采购需求</w:t>
      </w:r>
      <w:bookmarkEnd w:id="267"/>
      <w:bookmarkEnd w:id="268"/>
      <w:bookmarkEnd w:id="269"/>
    </w:p>
    <w:bookmarkEnd w:id="270"/>
    <w:p w14:paraId="7EB9DA5F">
      <w:pPr>
        <w:spacing w:line="360" w:lineRule="auto"/>
        <w:rPr>
          <w:rFonts w:hint="eastAsia" w:ascii="宋体" w:hAnsi="宋体" w:cs="华文仿宋"/>
          <w:b/>
          <w:bCs/>
          <w:sz w:val="24"/>
          <w:szCs w:val="24"/>
          <w:highlight w:val="none"/>
        </w:rPr>
      </w:pPr>
      <w:bookmarkStart w:id="271" w:name="EB69fca8740d1f4b0e9a8dbc98881cd3d4"/>
      <w:bookmarkStart w:id="272" w:name="_Toc73365513"/>
      <w:bookmarkStart w:id="273" w:name="_Toc73364900"/>
      <w:r>
        <w:rPr>
          <w:rFonts w:hint="eastAsia" w:ascii="宋体" w:hAnsi="宋体" w:cs="华文仿宋"/>
          <w:b/>
          <w:bCs/>
          <w:sz w:val="24"/>
          <w:szCs w:val="24"/>
          <w:highlight w:val="none"/>
        </w:rPr>
        <w:t>一、项目概况</w:t>
      </w:r>
    </w:p>
    <w:p w14:paraId="4D0C8DBF">
      <w:pPr>
        <w:spacing w:line="360" w:lineRule="auto"/>
        <w:ind w:firstLine="480"/>
        <w:rPr>
          <w:rFonts w:hint="eastAsia" w:ascii="宋体" w:hAnsi="宋体" w:cs="华文仿宋"/>
          <w:sz w:val="24"/>
          <w:szCs w:val="24"/>
          <w:highlight w:val="none"/>
        </w:rPr>
      </w:pPr>
      <w:r>
        <w:rPr>
          <w:rFonts w:hint="eastAsia" w:ascii="宋体" w:hAnsi="宋体" w:cs="华文仿宋"/>
          <w:sz w:val="24"/>
          <w:szCs w:val="24"/>
          <w:highlight w:val="none"/>
          <w:lang w:val="en-US" w:eastAsia="zh-CN"/>
        </w:rPr>
        <w:t>丹阳市人民医院是一所集医疗、教学、科研为一体的三级综合性医院，开放床位868张。医院坚持“规范精细塑品牌，完善创新铸卓越”的管理理念，砥砺奋进，开拓进取，为促进和维护人民的健康作出贡献。本次招标的为</w:t>
      </w:r>
      <w:r>
        <w:rPr>
          <w:rFonts w:hint="eastAsia" w:ascii="宋体" w:hAnsi="宋体" w:cs="华文仿宋"/>
          <w:sz w:val="24"/>
          <w:szCs w:val="24"/>
          <w:highlight w:val="none"/>
          <w:lang w:val="zh-CN" w:eastAsia="zh-CN"/>
        </w:rPr>
        <w:t>丹阳市人民医院</w:t>
      </w:r>
      <w:r>
        <w:rPr>
          <w:rFonts w:hint="eastAsia" w:ascii="宋体" w:hAnsi="宋体" w:cs="华文仿宋"/>
          <w:sz w:val="24"/>
          <w:szCs w:val="24"/>
          <w:highlight w:val="none"/>
          <w:lang w:val="en-US" w:eastAsia="zh-CN"/>
        </w:rPr>
        <w:t>高压配电房及10KV高压专线（双路）运维服务项目，含院内高压配电房值守、预防性试验、外供高压线巡线等工作内容</w:t>
      </w:r>
      <w:r>
        <w:rPr>
          <w:rFonts w:hint="eastAsia" w:ascii="宋体" w:hAnsi="宋体" w:cs="华文仿宋"/>
          <w:sz w:val="24"/>
          <w:szCs w:val="24"/>
          <w:highlight w:val="none"/>
        </w:rPr>
        <w:t>。</w:t>
      </w:r>
    </w:p>
    <w:p w14:paraId="375CCD76">
      <w:pPr>
        <w:spacing w:line="240" w:lineRule="auto"/>
        <w:ind w:firstLine="480"/>
        <w:rPr>
          <w:rFonts w:ascii="宋体" w:hAnsi="宋体" w:cs="华文仿宋"/>
          <w:color w:val="000000"/>
          <w:sz w:val="24"/>
          <w:szCs w:val="24"/>
          <w:highlight w:val="none"/>
        </w:rPr>
      </w:pPr>
      <w:r>
        <w:rPr>
          <w:rFonts w:ascii="宋体" w:hAnsi="宋体" w:cs="华文仿宋"/>
          <w:color w:val="000000"/>
          <w:sz w:val="24"/>
          <w:szCs w:val="24"/>
          <w:highlight w:val="none"/>
        </w:rPr>
        <w:t>项目所属行业：</w:t>
      </w:r>
      <w:r>
        <w:rPr>
          <w:rFonts w:hint="eastAsia" w:cs="华文仿宋"/>
          <w:color w:val="000000"/>
          <w:sz w:val="24"/>
          <w:szCs w:val="24"/>
          <w:highlight w:val="none"/>
          <w:lang w:eastAsia="zh-CN"/>
        </w:rPr>
        <w:t>其他未列明行业</w:t>
      </w:r>
      <w:r>
        <w:rPr>
          <w:rFonts w:hint="eastAsia" w:ascii="宋体" w:hAnsi="宋体" w:cs="华文仿宋"/>
          <w:color w:val="000000"/>
          <w:sz w:val="24"/>
          <w:szCs w:val="24"/>
          <w:highlight w:val="none"/>
        </w:rPr>
        <w:t>。</w:t>
      </w:r>
    </w:p>
    <w:p w14:paraId="1459330A">
      <w:pPr>
        <w:spacing w:before="240" w:after="240"/>
        <w:rPr>
          <w:rFonts w:ascii="等线" w:hAnsi="等线" w:eastAsia="等线"/>
          <w:sz w:val="20"/>
          <w:szCs w:val="20"/>
          <w:highlight w:val="none"/>
        </w:rPr>
      </w:pPr>
      <w:r>
        <w:rPr>
          <w:rFonts w:ascii="宋体" w:hAnsi="宋体" w:cs="宋体"/>
          <w:b/>
          <w:bCs/>
          <w:color w:val="000000"/>
          <w:sz w:val="24"/>
          <w:szCs w:val="24"/>
          <w:highlight w:val="none"/>
        </w:rPr>
        <w:t>二</w:t>
      </w:r>
      <w:r>
        <w:rPr>
          <w:rFonts w:hint="eastAsia" w:ascii="宋体" w:hAnsi="宋体" w:cs="宋体"/>
          <w:b/>
          <w:bCs/>
          <w:color w:val="000000"/>
          <w:sz w:val="24"/>
          <w:szCs w:val="24"/>
          <w:highlight w:val="none"/>
        </w:rPr>
        <w:t>、</w:t>
      </w:r>
      <w:r>
        <w:rPr>
          <w:rFonts w:ascii="宋体" w:hAnsi="宋体" w:cs="宋体"/>
          <w:b/>
          <w:bCs/>
          <w:color w:val="000000"/>
          <w:sz w:val="24"/>
          <w:szCs w:val="24"/>
          <w:highlight w:val="none"/>
        </w:rPr>
        <w:t>采购标的汇总表</w:t>
      </w:r>
    </w:p>
    <w:p w14:paraId="0688BB89">
      <w:pPr>
        <w:spacing w:before="240" w:after="240"/>
        <w:rPr>
          <w:rFonts w:ascii="等线" w:hAnsi="等线" w:eastAsia="等线"/>
          <w:sz w:val="24"/>
          <w:szCs w:val="24"/>
          <w:highlight w:val="none"/>
        </w:rPr>
      </w:pPr>
      <w:r>
        <w:rPr>
          <w:rFonts w:ascii="宋体" w:hAnsi="宋体" w:cs="宋体"/>
          <w:sz w:val="24"/>
          <w:szCs w:val="24"/>
          <w:highlight w:val="none"/>
        </w:rPr>
        <w:t>（一） 采购标的</w:t>
      </w:r>
    </w:p>
    <w:p w14:paraId="5B0F029F">
      <w:pPr>
        <w:spacing w:before="240" w:after="240"/>
        <w:rPr>
          <w:rFonts w:ascii="等线" w:hAnsi="等线" w:eastAsia="等线"/>
          <w:sz w:val="24"/>
          <w:szCs w:val="24"/>
          <w:highlight w:val="none"/>
        </w:rPr>
      </w:pPr>
      <w:r>
        <w:rPr>
          <w:rFonts w:ascii="宋体" w:hAnsi="宋体" w:cs="宋体"/>
          <w:sz w:val="24"/>
          <w:szCs w:val="24"/>
          <w:highlight w:val="none"/>
        </w:rPr>
        <w:t>1.服务类标的</w:t>
      </w:r>
    </w:p>
    <w:tbl>
      <w:tblPr>
        <w:tblStyle w:val="33"/>
        <w:tblW w:w="5000" w:type="pct"/>
        <w:tblInd w:w="2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top w:w="0" w:type="dxa"/>
          <w:left w:w="108" w:type="dxa"/>
          <w:bottom w:w="0" w:type="dxa"/>
          <w:right w:w="108" w:type="dxa"/>
        </w:tblCellMar>
      </w:tblPr>
      <w:tblGrid>
        <w:gridCol w:w="1219"/>
        <w:gridCol w:w="1698"/>
        <w:gridCol w:w="1058"/>
        <w:gridCol w:w="915"/>
        <w:gridCol w:w="3170"/>
        <w:gridCol w:w="1522"/>
      </w:tblGrid>
      <w:tr w14:paraId="50DFE1D2">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c>
          <w:tcPr>
            <w:tcW w:w="400" w:type="dxa"/>
            <w:noWrap w:val="0"/>
            <w:tcMar>
              <w:top w:w="0" w:type="dxa"/>
              <w:left w:w="108" w:type="dxa"/>
              <w:bottom w:w="0" w:type="dxa"/>
              <w:right w:w="108" w:type="dxa"/>
            </w:tcMar>
            <w:vAlign w:val="center"/>
          </w:tcPr>
          <w:p w14:paraId="7B5F6C91">
            <w:pPr>
              <w:jc w:val="center"/>
              <w:rPr>
                <w:rFonts w:ascii="宋体" w:hAnsi="宋体" w:cs="宋体"/>
                <w:b/>
                <w:bCs/>
                <w:color w:val="000000"/>
                <w:sz w:val="24"/>
                <w:szCs w:val="24"/>
                <w:highlight w:val="none"/>
              </w:rPr>
            </w:pPr>
            <w:r>
              <w:rPr>
                <w:rFonts w:ascii="宋体" w:hAnsi="宋体" w:cs="宋体"/>
                <w:b/>
                <w:bCs/>
                <w:color w:val="000000"/>
                <w:sz w:val="24"/>
                <w:szCs w:val="24"/>
                <w:highlight w:val="none"/>
              </w:rPr>
              <w:t>序号</w:t>
            </w:r>
          </w:p>
        </w:tc>
        <w:tc>
          <w:tcPr>
            <w:tcW w:w="1069" w:type="dxa"/>
            <w:noWrap w:val="0"/>
            <w:tcMar>
              <w:top w:w="0" w:type="dxa"/>
              <w:left w:w="108" w:type="dxa"/>
              <w:bottom w:w="0" w:type="dxa"/>
              <w:right w:w="108" w:type="dxa"/>
            </w:tcMar>
            <w:vAlign w:val="center"/>
          </w:tcPr>
          <w:p w14:paraId="12FA753F">
            <w:pPr>
              <w:spacing w:line="360" w:lineRule="auto"/>
              <w:jc w:val="center"/>
              <w:rPr>
                <w:rFonts w:ascii="宋体" w:hAnsi="宋体" w:cs="宋体"/>
                <w:b/>
                <w:bCs/>
                <w:color w:val="000000"/>
                <w:sz w:val="24"/>
                <w:szCs w:val="24"/>
                <w:highlight w:val="none"/>
              </w:rPr>
            </w:pPr>
            <w:r>
              <w:rPr>
                <w:rFonts w:ascii="宋体" w:hAnsi="宋体" w:cs="宋体"/>
                <w:b/>
                <w:bCs/>
                <w:color w:val="000000"/>
                <w:sz w:val="24"/>
                <w:szCs w:val="24"/>
                <w:highlight w:val="none"/>
              </w:rPr>
              <w:t>标的名称</w:t>
            </w:r>
          </w:p>
        </w:tc>
        <w:tc>
          <w:tcPr>
            <w:tcW w:w="666" w:type="dxa"/>
            <w:noWrap w:val="0"/>
            <w:tcMar>
              <w:top w:w="0" w:type="dxa"/>
              <w:left w:w="108" w:type="dxa"/>
              <w:bottom w:w="0" w:type="dxa"/>
              <w:right w:w="108" w:type="dxa"/>
            </w:tcMar>
            <w:vAlign w:val="center"/>
          </w:tcPr>
          <w:p w14:paraId="78172DF8">
            <w:pPr>
              <w:spacing w:line="360" w:lineRule="auto"/>
              <w:jc w:val="center"/>
              <w:rPr>
                <w:rFonts w:ascii="宋体" w:hAnsi="宋体" w:cs="宋体"/>
                <w:b/>
                <w:bCs/>
                <w:color w:val="000000"/>
                <w:sz w:val="24"/>
                <w:szCs w:val="24"/>
                <w:highlight w:val="none"/>
              </w:rPr>
            </w:pPr>
            <w:r>
              <w:rPr>
                <w:rFonts w:ascii="宋体" w:hAnsi="宋体" w:cs="宋体"/>
                <w:b/>
                <w:bCs/>
                <w:color w:val="000000"/>
                <w:sz w:val="24"/>
                <w:szCs w:val="24"/>
                <w:highlight w:val="none"/>
              </w:rPr>
              <w:t>计量单位</w:t>
            </w:r>
          </w:p>
        </w:tc>
        <w:tc>
          <w:tcPr>
            <w:tcW w:w="370" w:type="dxa"/>
            <w:noWrap w:val="0"/>
            <w:tcMar>
              <w:top w:w="0" w:type="dxa"/>
              <w:left w:w="108" w:type="dxa"/>
              <w:bottom w:w="0" w:type="dxa"/>
              <w:right w:w="108" w:type="dxa"/>
            </w:tcMar>
            <w:vAlign w:val="center"/>
          </w:tcPr>
          <w:p w14:paraId="1CDA87E8">
            <w:pPr>
              <w:spacing w:line="360" w:lineRule="auto"/>
              <w:jc w:val="center"/>
              <w:rPr>
                <w:rFonts w:ascii="宋体" w:hAnsi="宋体" w:cs="宋体"/>
                <w:b/>
                <w:bCs/>
                <w:color w:val="000000"/>
                <w:sz w:val="24"/>
                <w:szCs w:val="24"/>
                <w:highlight w:val="none"/>
              </w:rPr>
            </w:pPr>
            <w:r>
              <w:rPr>
                <w:rFonts w:ascii="宋体" w:hAnsi="宋体" w:cs="宋体"/>
                <w:b/>
                <w:bCs/>
                <w:color w:val="000000"/>
                <w:sz w:val="24"/>
                <w:szCs w:val="24"/>
                <w:highlight w:val="none"/>
              </w:rPr>
              <w:t>数量</w:t>
            </w:r>
          </w:p>
        </w:tc>
        <w:tc>
          <w:tcPr>
            <w:tcW w:w="1995" w:type="dxa"/>
            <w:noWrap w:val="0"/>
            <w:tcMar>
              <w:top w:w="0" w:type="dxa"/>
              <w:left w:w="108" w:type="dxa"/>
              <w:bottom w:w="0" w:type="dxa"/>
              <w:right w:w="108" w:type="dxa"/>
            </w:tcMar>
            <w:vAlign w:val="center"/>
          </w:tcPr>
          <w:p w14:paraId="7F7D9333">
            <w:pPr>
              <w:spacing w:line="360" w:lineRule="auto"/>
              <w:jc w:val="center"/>
              <w:rPr>
                <w:rFonts w:ascii="宋体" w:hAnsi="宋体" w:cs="宋体"/>
                <w:b/>
                <w:bCs/>
                <w:color w:val="000000"/>
                <w:sz w:val="24"/>
                <w:szCs w:val="24"/>
                <w:highlight w:val="none"/>
              </w:rPr>
            </w:pPr>
            <w:r>
              <w:rPr>
                <w:rFonts w:ascii="宋体" w:hAnsi="宋体" w:cs="宋体"/>
                <w:b/>
                <w:bCs/>
                <w:color w:val="000000"/>
                <w:sz w:val="24"/>
                <w:szCs w:val="24"/>
                <w:highlight w:val="none"/>
              </w:rPr>
              <w:t>服务要求简述</w:t>
            </w:r>
          </w:p>
        </w:tc>
        <w:tc>
          <w:tcPr>
            <w:tcW w:w="500" w:type="dxa"/>
            <w:noWrap w:val="0"/>
            <w:tcMar>
              <w:top w:w="0" w:type="dxa"/>
              <w:left w:w="108" w:type="dxa"/>
              <w:bottom w:w="0" w:type="dxa"/>
              <w:right w:w="108" w:type="dxa"/>
            </w:tcMar>
            <w:vAlign w:val="center"/>
          </w:tcPr>
          <w:p w14:paraId="704E5CD6">
            <w:pPr>
              <w:spacing w:line="360" w:lineRule="auto"/>
              <w:jc w:val="center"/>
              <w:rPr>
                <w:rFonts w:ascii="宋体" w:hAnsi="宋体" w:cs="宋体"/>
                <w:b/>
                <w:bCs/>
                <w:color w:val="000000"/>
                <w:sz w:val="24"/>
                <w:szCs w:val="24"/>
                <w:highlight w:val="none"/>
              </w:rPr>
            </w:pPr>
            <w:r>
              <w:rPr>
                <w:rFonts w:ascii="宋体" w:hAnsi="宋体" w:cs="宋体"/>
                <w:b/>
                <w:bCs/>
                <w:color w:val="000000"/>
                <w:sz w:val="24"/>
                <w:szCs w:val="24"/>
                <w:highlight w:val="none"/>
              </w:rPr>
              <w:t>备注</w:t>
            </w:r>
          </w:p>
        </w:tc>
      </w:tr>
      <w:tr w14:paraId="6AD5F4AB">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c>
          <w:tcPr>
            <w:tcW w:w="767" w:type="dxa"/>
            <w:noWrap w:val="0"/>
            <w:tcMar>
              <w:top w:w="0" w:type="dxa"/>
              <w:left w:w="108" w:type="dxa"/>
              <w:bottom w:w="0" w:type="dxa"/>
              <w:right w:w="108" w:type="dxa"/>
            </w:tcMar>
            <w:vAlign w:val="center"/>
          </w:tcPr>
          <w:p w14:paraId="03A2EFA7">
            <w:pPr>
              <w:spacing w:line="192" w:lineRule="auto"/>
              <w:jc w:val="center"/>
              <w:rPr>
                <w:rFonts w:ascii="宋体" w:hAnsi="宋体" w:cs="宋体"/>
                <w:sz w:val="24"/>
                <w:szCs w:val="24"/>
                <w:highlight w:val="none"/>
              </w:rPr>
            </w:pPr>
            <w:r>
              <w:rPr>
                <w:rFonts w:ascii="宋体" w:hAnsi="宋体" w:cs="宋体"/>
                <w:sz w:val="24"/>
                <w:szCs w:val="24"/>
                <w:highlight w:val="none"/>
              </w:rPr>
              <w:t>1</w:t>
            </w:r>
          </w:p>
        </w:tc>
        <w:tc>
          <w:tcPr>
            <w:tcW w:w="1069" w:type="dxa"/>
            <w:noWrap w:val="0"/>
            <w:tcMar>
              <w:top w:w="0" w:type="dxa"/>
              <w:left w:w="108" w:type="dxa"/>
              <w:bottom w:w="0" w:type="dxa"/>
              <w:right w:w="108" w:type="dxa"/>
            </w:tcMar>
            <w:vAlign w:val="center"/>
          </w:tcPr>
          <w:p w14:paraId="22242373">
            <w:pPr>
              <w:spacing w:line="360" w:lineRule="auto"/>
              <w:rPr>
                <w:rFonts w:hint="eastAsia" w:ascii="宋体" w:hAnsi="宋体" w:cs="宋体"/>
                <w:sz w:val="24"/>
                <w:szCs w:val="24"/>
                <w:highlight w:val="none"/>
              </w:rPr>
            </w:pPr>
            <w:r>
              <w:rPr>
                <w:rFonts w:hint="eastAsia" w:cs="宋体"/>
                <w:sz w:val="24"/>
                <w:szCs w:val="24"/>
                <w:highlight w:val="none"/>
                <w:lang w:val="en-US" w:eastAsia="zh-CN"/>
              </w:rPr>
              <w:t>丹阳市人民医院高压配电房及10KV高压专线（双路）运维服务项目</w:t>
            </w:r>
          </w:p>
        </w:tc>
        <w:tc>
          <w:tcPr>
            <w:tcW w:w="666" w:type="dxa"/>
            <w:noWrap w:val="0"/>
            <w:tcMar>
              <w:top w:w="0" w:type="dxa"/>
              <w:left w:w="108" w:type="dxa"/>
              <w:bottom w:w="0" w:type="dxa"/>
              <w:right w:w="108" w:type="dxa"/>
            </w:tcMar>
            <w:vAlign w:val="center"/>
          </w:tcPr>
          <w:p w14:paraId="7860928B">
            <w:pPr>
              <w:spacing w:line="360" w:lineRule="auto"/>
              <w:jc w:val="center"/>
              <w:rPr>
                <w:rFonts w:ascii="宋体" w:hAnsi="宋体" w:cs="宋体"/>
                <w:sz w:val="24"/>
                <w:szCs w:val="24"/>
                <w:highlight w:val="none"/>
              </w:rPr>
            </w:pPr>
            <w:r>
              <w:rPr>
                <w:rFonts w:ascii="宋体" w:hAnsi="宋体" w:cs="宋体"/>
                <w:sz w:val="24"/>
                <w:szCs w:val="24"/>
                <w:highlight w:val="none"/>
              </w:rPr>
              <w:t>项</w:t>
            </w:r>
          </w:p>
        </w:tc>
        <w:tc>
          <w:tcPr>
            <w:tcW w:w="370" w:type="dxa"/>
            <w:noWrap w:val="0"/>
            <w:tcMar>
              <w:top w:w="0" w:type="dxa"/>
              <w:left w:w="108" w:type="dxa"/>
              <w:bottom w:w="0" w:type="dxa"/>
              <w:right w:w="108" w:type="dxa"/>
            </w:tcMar>
            <w:vAlign w:val="center"/>
          </w:tcPr>
          <w:p w14:paraId="0D0975EE">
            <w:pPr>
              <w:spacing w:line="360" w:lineRule="auto"/>
              <w:jc w:val="right"/>
              <w:rPr>
                <w:rFonts w:ascii="宋体" w:hAnsi="宋体" w:cs="宋体"/>
                <w:sz w:val="24"/>
                <w:szCs w:val="24"/>
                <w:highlight w:val="none"/>
              </w:rPr>
            </w:pPr>
            <w:r>
              <w:rPr>
                <w:rFonts w:ascii="宋体" w:hAnsi="宋体" w:cs="宋体"/>
                <w:sz w:val="24"/>
                <w:szCs w:val="24"/>
                <w:highlight w:val="none"/>
              </w:rPr>
              <w:t>1.0</w:t>
            </w:r>
          </w:p>
        </w:tc>
        <w:tc>
          <w:tcPr>
            <w:tcW w:w="1995" w:type="dxa"/>
            <w:noWrap w:val="0"/>
            <w:tcMar>
              <w:top w:w="0" w:type="dxa"/>
              <w:left w:w="108" w:type="dxa"/>
              <w:bottom w:w="0" w:type="dxa"/>
              <w:right w:w="108" w:type="dxa"/>
            </w:tcMar>
            <w:vAlign w:val="center"/>
          </w:tcPr>
          <w:p w14:paraId="62A5C8FA">
            <w:pPr>
              <w:spacing w:line="360" w:lineRule="auto"/>
              <w:jc w:val="center"/>
              <w:rPr>
                <w:rFonts w:hint="eastAsia" w:ascii="宋体" w:hAnsi="宋体" w:cs="宋体"/>
                <w:sz w:val="24"/>
                <w:szCs w:val="24"/>
                <w:highlight w:val="none"/>
              </w:rPr>
            </w:pPr>
            <w:r>
              <w:rPr>
                <w:rFonts w:hint="eastAsia" w:cs="宋体"/>
                <w:sz w:val="24"/>
                <w:szCs w:val="24"/>
                <w:highlight w:val="none"/>
                <w:lang w:val="en-US" w:eastAsia="zh-CN"/>
              </w:rPr>
              <w:t>丹阳市人民医院高压配电房及10KV高压专线（双路）运维服务</w:t>
            </w:r>
          </w:p>
        </w:tc>
        <w:tc>
          <w:tcPr>
            <w:tcW w:w="958" w:type="dxa"/>
            <w:noWrap w:val="0"/>
            <w:tcMar>
              <w:top w:w="0" w:type="dxa"/>
              <w:left w:w="108" w:type="dxa"/>
              <w:bottom w:w="0" w:type="dxa"/>
              <w:right w:w="108" w:type="dxa"/>
            </w:tcMar>
            <w:vAlign w:val="center"/>
          </w:tcPr>
          <w:p w14:paraId="614E9AE9">
            <w:pPr>
              <w:spacing w:line="360" w:lineRule="auto"/>
              <w:rPr>
                <w:rFonts w:ascii="宋体" w:hAnsi="宋体" w:cs="宋体"/>
                <w:sz w:val="24"/>
                <w:szCs w:val="24"/>
                <w:highlight w:val="none"/>
              </w:rPr>
            </w:pPr>
          </w:p>
        </w:tc>
      </w:tr>
    </w:tbl>
    <w:p w14:paraId="37A29241">
      <w:pPr>
        <w:spacing w:before="240" w:after="240"/>
        <w:rPr>
          <w:rFonts w:ascii="等线" w:hAnsi="等线" w:eastAsia="等线"/>
          <w:sz w:val="24"/>
          <w:szCs w:val="24"/>
          <w:highlight w:val="none"/>
        </w:rPr>
      </w:pPr>
      <w:r>
        <w:rPr>
          <w:rFonts w:ascii="宋体" w:hAnsi="宋体" w:cs="宋体"/>
          <w:b/>
          <w:bCs/>
          <w:color w:val="000000"/>
          <w:sz w:val="24"/>
          <w:szCs w:val="24"/>
          <w:highlight w:val="none"/>
        </w:rPr>
        <w:t>三</w:t>
      </w:r>
      <w:r>
        <w:rPr>
          <w:rFonts w:hint="eastAsia" w:ascii="宋体" w:hAnsi="宋体" w:cs="宋体"/>
          <w:b/>
          <w:bCs/>
          <w:color w:val="000000"/>
          <w:sz w:val="24"/>
          <w:szCs w:val="24"/>
          <w:highlight w:val="none"/>
        </w:rPr>
        <w:t>、</w:t>
      </w:r>
      <w:r>
        <w:rPr>
          <w:rFonts w:hint="eastAsia" w:cs="宋体"/>
          <w:b/>
          <w:bCs/>
          <w:color w:val="000000"/>
          <w:sz w:val="24"/>
          <w:szCs w:val="24"/>
          <w:highlight w:val="none"/>
          <w:lang w:val="en-US" w:eastAsia="zh-CN"/>
        </w:rPr>
        <w:t>技术及</w:t>
      </w:r>
      <w:r>
        <w:rPr>
          <w:rFonts w:hint="eastAsia" w:ascii="宋体" w:hAnsi="宋体" w:cs="宋体"/>
          <w:b/>
          <w:bCs/>
          <w:color w:val="000000"/>
          <w:sz w:val="24"/>
          <w:szCs w:val="24"/>
          <w:highlight w:val="none"/>
        </w:rPr>
        <w:t>服务</w:t>
      </w:r>
      <w:r>
        <w:rPr>
          <w:rFonts w:ascii="宋体" w:hAnsi="宋体" w:cs="宋体"/>
          <w:b/>
          <w:bCs/>
          <w:color w:val="000000"/>
          <w:sz w:val="24"/>
          <w:szCs w:val="24"/>
          <w:highlight w:val="none"/>
        </w:rPr>
        <w:t>要求</w:t>
      </w:r>
    </w:p>
    <w:p w14:paraId="39BFFBAD">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1.高配房线下服务内容：</w:t>
      </w:r>
    </w:p>
    <w:p w14:paraId="71EC3478">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w:t>
      </w:r>
      <w:bookmarkStart w:id="274" w:name="OLE_LINK1"/>
      <w:r>
        <w:rPr>
          <w:rFonts w:hint="eastAsia" w:ascii="宋体" w:hAnsi="宋体" w:cs="Times New Roman"/>
          <w:b w:val="0"/>
          <w:bCs/>
          <w:sz w:val="24"/>
          <w:szCs w:val="24"/>
          <w:highlight w:val="none"/>
          <w:lang w:val="en-US" w:eastAsia="zh-CN"/>
        </w:rPr>
        <w:t>负责9号楼配电房24 小时驻场值守服务（三班制，每班不得少于1人），及时处置突发故障，能积极配合各项工作。</w:t>
      </w:r>
      <w:bookmarkEnd w:id="274"/>
      <w:r>
        <w:rPr>
          <w:rFonts w:hint="eastAsia" w:ascii="宋体" w:hAnsi="宋体" w:cs="Times New Roman"/>
          <w:b w:val="0"/>
          <w:bCs/>
          <w:sz w:val="24"/>
          <w:szCs w:val="24"/>
          <w:highlight w:val="none"/>
          <w:lang w:val="en-US" w:eastAsia="zh-CN"/>
        </w:rPr>
        <w:t>如采购人对电工工作不满意，可要求中标人随时替换，无特殊原因，中标人应在一周内给予调整。</w:t>
      </w:r>
    </w:p>
    <w:p w14:paraId="35255EB0">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1.2对9号楼配电房内电气设备进行日常巡检，提供巡检记录。</w:t>
      </w:r>
    </w:p>
    <w:p w14:paraId="79774DF5">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1.3对2号楼配电房内电气设备每日巡视，时间为：2小时巡视并记录，采购人有权针对用电高峰期巡视时间频率调整。</w:t>
      </w:r>
    </w:p>
    <w:p w14:paraId="3002E98A">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1.4全院所有的强电井（二级配电房）和重点科室的用电检测巡视工作，每月两次。</w:t>
      </w:r>
    </w:p>
    <w:p w14:paraId="1A0571B8">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 xml:space="preserve">1.5根据实际需要，对9号楼配电房进行倒闸操作，提供设备操作记录。 </w:t>
      </w:r>
    </w:p>
    <w:p w14:paraId="66046C7A">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1.6对出入9号楼配电房人员进行管控，提供人员出入记录单。</w:t>
      </w:r>
    </w:p>
    <w:p w14:paraId="52C7E7C4">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1.7运维服务期内，对9号楼配电房及2号楼配电房提供24小时电力抢修服务，到场时间≤30分钟。</w:t>
      </w:r>
    </w:p>
    <w:p w14:paraId="42F11E12">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 xml:space="preserve">1.8对9号楼配电房及2号楼配电房高低压柜、变压器进行清灰除尘。 </w:t>
      </w:r>
    </w:p>
    <w:p w14:paraId="1DE7C926">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 xml:space="preserve">1.9对配电房安全工器具进行定期检测，包括绝缘手套、绝缘鞋、验电笔、操作棒、接地线等，提供检测报告。 </w:t>
      </w:r>
    </w:p>
    <w:p w14:paraId="5C449E77">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1.10对9号楼及2号楼配电房相关电气设备进行年度电气预防性试验，提供纸质版电气试验报告，对试验中发现的隐患提供整改建议。</w:t>
      </w:r>
    </w:p>
    <w:p w14:paraId="393717B3">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1.11提供9号楼配电房月度安全用电巡检报告，管理档案与运行档案定期归档。</w:t>
      </w:r>
    </w:p>
    <w:p w14:paraId="19D0B95B">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1.12配合院方高压线路切换电演练工作，每月发电机试运行一次。</w:t>
      </w:r>
    </w:p>
    <w:p w14:paraId="631C38FA">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1.13配合采购人开展应急演练工作，帮助编制应急预案等资料，提供用电技术支持，使医院自身可以迅速有序地组织和恢复供电，确保病⼈⽣命安全和减少财产的损失，保证医院⽤电通畅，促进事故应急工作的制度化和规范化。</w:t>
      </w:r>
    </w:p>
    <w:p w14:paraId="3F877C5C">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 xml:space="preserve">1.14配电房所用的记录及登记本均由中标人提供。           </w:t>
      </w:r>
    </w:p>
    <w:p w14:paraId="708FBB51">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免费在2号楼安装配置AI智能巡检机器人一台，并负责AI智能巡检机器人的维修及保养工作，确保性能完好。需对配电房进行远程巡检、自动巡检，可实现24小时不间断的现场巡视，（设备归中标人所有）设备具体实现以下功能：</w:t>
      </w:r>
    </w:p>
    <w:p w14:paraId="2361BB87">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1.15.1产品具有CNAS或者CMA资质的第三方检测机构出具的智能巡检机器人检测报告。</w:t>
      </w:r>
    </w:p>
    <w:p w14:paraId="225633E7">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1.15.2一体化轨道，无外置供电滑束线及通信线缆，供电/通信线缆内置于导轨中。</w:t>
      </w:r>
    </w:p>
    <w:p w14:paraId="15D03E03">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1.15.3采用电力线载波方式实现高速宽带图线传输。</w:t>
      </w:r>
    </w:p>
    <w:p w14:paraId="63B4F59E">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1.15.4带语音及灯光提示。</w:t>
      </w:r>
    </w:p>
    <w:p w14:paraId="3421B1A2">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1.15.5在前、后、下三个方向具备超声波避障功能。</w:t>
      </w:r>
    </w:p>
    <w:p w14:paraId="0557F5CF">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1.15.6具备批量AI识别能，可以一次识别多个对象。</w:t>
      </w:r>
    </w:p>
    <w:p w14:paraId="487C661C">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1.15.7可选配局放、噪声、温湿度、有害气体监测等各类环境传感器。</w:t>
      </w:r>
    </w:p>
    <w:p w14:paraId="31CC24C0">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1.15.8具备紧急停车按钮。</w:t>
      </w:r>
    </w:p>
    <w:p w14:paraId="42A14238">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1.15.9机器人采用金属外壳。</w:t>
      </w:r>
    </w:p>
    <w:p w14:paraId="2C3248E2">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1.15.10支持对设备运行时的声纹进行采集与分析，对于异常声纹记录并发出预警。</w:t>
      </w:r>
    </w:p>
    <w:p w14:paraId="0ADE03C3">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1.15.11通过仿真机械手臂，动态贴近设备进行局放监测和声纹采集。</w:t>
      </w:r>
    </w:p>
    <w:p w14:paraId="70E76EE3">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1.15.12环境检测（包括对室内中03、CO、CO2、SF6、温度、湿度、烟雾、设备工作噪音等环境信息的监测）。</w:t>
      </w:r>
    </w:p>
    <w:p w14:paraId="52A24375">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1.15.13报警联动功能,可在收到告警信号后第一时间快速移动到故障设备进行监视记录（在接收到告警信号后，能够迅速移动至故障设备处，进行实时监视与记录）。</w:t>
      </w:r>
    </w:p>
    <w:p w14:paraId="49D02DA4">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1.15.14超声波避障功能（在前、后、下三个方向具备超声波避障功能）。</w:t>
      </w:r>
    </w:p>
    <w:p w14:paraId="3BEFA91F">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1.15.15批量AI识别功能（可以一次识别多种设备信息，掌握站内电力设备及环境的状态信息）。</w:t>
      </w:r>
    </w:p>
    <w:p w14:paraId="3FF57350">
      <w:pPr>
        <w:pStyle w:val="259"/>
        <w:numPr>
          <w:ilvl w:val="0"/>
          <w:numId w:val="0"/>
        </w:numPr>
        <w:spacing w:line="460" w:lineRule="exact"/>
        <w:ind w:firstLine="480"/>
        <w:rPr>
          <w:rFonts w:hint="default" w:ascii="宋体" w:hAnsi="宋体" w:cs="Times New Roman"/>
          <w:b/>
          <w:bCs w:val="0"/>
          <w:sz w:val="24"/>
          <w:szCs w:val="24"/>
          <w:highlight w:val="none"/>
          <w:lang w:val="en-US" w:eastAsia="zh-CN"/>
        </w:rPr>
      </w:pPr>
      <w:r>
        <w:rPr>
          <w:rFonts w:hint="eastAsia" w:ascii="宋体" w:hAnsi="宋体" w:cs="Times New Roman"/>
          <w:b/>
          <w:bCs w:val="0"/>
          <w:sz w:val="24"/>
          <w:szCs w:val="24"/>
          <w:highlight w:val="none"/>
          <w:lang w:val="en-US" w:eastAsia="zh-CN"/>
        </w:rPr>
        <w:t>注：1.15.2-1.15.15条内容须提供加盖厂家公章的产品说明书或手册或白皮书或检测报告等证明材料，未提供技术支持资料的，评标时不予认可。</w:t>
      </w:r>
    </w:p>
    <w:p w14:paraId="6BE8A610">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 xml:space="preserve">2.高配房线上服务内容： </w:t>
      </w:r>
    </w:p>
    <w:p w14:paraId="5DB44843">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▲2.1免费提供智能化运维平台，对9号楼及2号楼配电房变压器及重要节点进行7ⅹ24 小时实时运行监测，发现异常及时告警与处置。</w:t>
      </w:r>
    </w:p>
    <w:p w14:paraId="59870DA7">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▲2.2设备全生命周期管理：建立包含9号楼、 2号楼配电房设备的电子台账，录入设备型号、出厂参数、安装位置、试验报告（含预防性试验数据）等信息，支持扫码快速检索与移动端实时查看。</w:t>
      </w:r>
    </w:p>
    <w:p w14:paraId="0B5EFEC2">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▲2.3智能分析报告：</w:t>
      </w:r>
    </w:p>
    <w:p w14:paraId="4D131AD2">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2.3.1基础报表：每日生成《配电房运行日报》（含负荷曲线、电能质量指标），每月自动生成《设备健康度评估报告》。</w:t>
      </w:r>
    </w:p>
    <w:p w14:paraId="51EC4778">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2.3.2专项分析：每季度提供《医院能耗优化建议方案》，结合峰谷电价政策与设备运行数据，提出错峰用电策略、无功补偿装置调节建议等。</w:t>
      </w:r>
    </w:p>
    <w:p w14:paraId="5B24230D">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2.3.3趋势预测：运用机器学习算法，对设备老化趋势进行预测，提前 6-12 个月发出设备更换预警。</w:t>
      </w:r>
    </w:p>
    <w:p w14:paraId="016EF263">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▲2.4根据院方要求，对供电重要端口（ 手术室、 ICU、产房、 血液净化中心等）安装安全用电终端，实时监测电气参数异常情况，及时处理故障隐患，确保采集点位不少于60个点位，设备数据能一并在电脑与手机端显示。</w:t>
      </w:r>
    </w:p>
    <w:p w14:paraId="12BED265">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▲2.5在9号楼配电房配置一台数字孪生智慧电力可视化信息发布智慧大屏（显示大屏归乙方所有），设备具体参数如下：</w:t>
      </w:r>
    </w:p>
    <w:p w14:paraId="29FE7140">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2.5.1可监测电流、电压、漏电流、功率因素、温度等电气参数。</w:t>
      </w:r>
    </w:p>
    <w:p w14:paraId="41E1FB7C">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2.5.2额定电压：AC380V。</w:t>
      </w:r>
    </w:p>
    <w:p w14:paraId="403D4B4C">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2.5.3分断能力 Icn：≥ 10000A。</w:t>
      </w:r>
    </w:p>
    <w:p w14:paraId="58346526">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2.5.4漏电保护：线路漏电电流达到30mA时，断路器0.1s断电保护。</w:t>
      </w:r>
    </w:p>
    <w:p w14:paraId="1EB0E7C7">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2.5.5短路保护：线路短路时，断路器0.04s断电保护。</w:t>
      </w:r>
    </w:p>
    <w:p w14:paraId="46F0171B">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2.5.6温度保护：出线端子温度超过 70 度预警，超过 90 度报警及保护。</w:t>
      </w:r>
    </w:p>
    <w:p w14:paraId="74801ABE">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2.5.7过压（欠压）保护：当三相电中任意单相电输入电压超过263V，10S内断电保护，超过250V 过压预警 ，低于190V欠压预警。</w:t>
      </w:r>
    </w:p>
    <w:p w14:paraId="77D65602">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2.5.8可调漏电保护动作电流值：带漏电保护功能的设备应具备漏电保护动作电 流值可调功能，至少提供30mA、50mA、100mA、1000mA 四个档位 ，剩余电流的分断时间应能满足GB16917.1的要求。</w:t>
      </w:r>
    </w:p>
    <w:p w14:paraId="21E3E76B">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2.5.9故障检修功能 ：设备应具备本地检修模式 ，进入设备分闸锁定状态 ，远 程 、本地都不能合闸，检修完毕后，恢复远程模式。</w:t>
      </w:r>
    </w:p>
    <w:p w14:paraId="781D776D">
      <w:pPr>
        <w:pStyle w:val="259"/>
        <w:numPr>
          <w:ilvl w:val="0"/>
          <w:numId w:val="0"/>
        </w:numPr>
        <w:spacing w:line="460" w:lineRule="exact"/>
        <w:ind w:firstLine="480"/>
        <w:rPr>
          <w:rFonts w:hint="default" w:ascii="宋体" w:hAnsi="宋体" w:cs="Times New Roman"/>
          <w:b/>
          <w:bCs w:val="0"/>
          <w:sz w:val="24"/>
          <w:szCs w:val="24"/>
          <w:highlight w:val="none"/>
          <w:lang w:val="en-US" w:eastAsia="zh-CN"/>
        </w:rPr>
      </w:pPr>
      <w:r>
        <w:rPr>
          <w:rFonts w:hint="eastAsia" w:ascii="宋体" w:hAnsi="宋体" w:cs="Times New Roman"/>
          <w:b/>
          <w:bCs w:val="0"/>
          <w:sz w:val="24"/>
          <w:szCs w:val="24"/>
          <w:highlight w:val="none"/>
          <w:lang w:val="en-US" w:eastAsia="zh-CN"/>
        </w:rPr>
        <w:t>注：供应商须提供2.5项所有内容加盖厂家公章的产品说明书或手册或白皮书或检测报告等证明材料，未提供技术支持资料的，评标时不予认可。</w:t>
      </w:r>
    </w:p>
    <w:p w14:paraId="3D9D315C">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3.10KV高压专供线路服务内容和标准：</w:t>
      </w:r>
    </w:p>
    <w:p w14:paraId="0C818BEA">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3.1维保范围:院外高压线(西门线、锦湖线)、沿途分支箱及院内户外环网柜。</w:t>
      </w:r>
    </w:p>
    <w:p w14:paraId="270F46CD">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3.2维保内容：</w:t>
      </w:r>
    </w:p>
    <w:p w14:paraId="0C281A53">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3.2.1院外10kV供电线路的巡线、维修、抢修。</w:t>
      </w:r>
    </w:p>
    <w:p w14:paraId="059AE5CE">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3.2.2分支箱及环网柜的巡查、维修、抢修。</w:t>
      </w:r>
    </w:p>
    <w:p w14:paraId="56A6117A">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3.3技术服务要求：</w:t>
      </w:r>
    </w:p>
    <w:p w14:paraId="4D6CF0DC">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3.3.1每月对院外2路10kV高压线(西门线、锦湖线)及沿途分支箱、院内户外环网柜巡检2次，拍照留证并向采购人提供巡检报告，双方签字确认。</w:t>
      </w:r>
    </w:p>
    <w:p w14:paraId="73BF503B">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3.3.2在巡检中如发现安全隐患须立即通知采购人，制定隐患整改方案，报采购人批准后立即实施。</w:t>
      </w:r>
    </w:p>
    <w:p w14:paraId="09585BA4">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3.3.3 接到线路故障抢修通知后，抢修人员到场时间&lt;30分钟，施工期间如需停电，由中标人负责与当地供电公司协调。</w:t>
      </w:r>
    </w:p>
    <w:p w14:paraId="49F8B0BD">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3.3.4 中标人应指定巡线人员与采购人对接(不限于1名)。</w:t>
      </w:r>
    </w:p>
    <w:p w14:paraId="00461DD6">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3.3.5 在巡线期间遇外破施工(打桩施工、吊车作业、挖掘机施工等)，及时上报采购人。</w:t>
      </w:r>
    </w:p>
    <w:p w14:paraId="2433F605">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3.3.6 电缆通道巡视内容：</w:t>
      </w:r>
    </w:p>
    <w:p w14:paraId="07C36C7E">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3.3.6.1电缆沟、井盖板或井圈损坏或丢失。</w:t>
      </w:r>
    </w:p>
    <w:p w14:paraId="13A70E04">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3.3.6.2电缆通道路面有挖掘痕迹和违章建房。</w:t>
      </w:r>
    </w:p>
    <w:p w14:paraId="52A8A399">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3.3.6.3通道路径标志桩、标志块缺失。</w:t>
      </w:r>
    </w:p>
    <w:p w14:paraId="027674A7">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3.3.6.4电缆管沟、井被杂物堵塞。</w:t>
      </w:r>
    </w:p>
    <w:p w14:paraId="1F3C2FE5">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3.3.6.5电缆排管未封堵或不到位。</w:t>
      </w:r>
    </w:p>
    <w:p w14:paraId="65D6E34B">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3.4电缆本体巡视内容:</w:t>
      </w:r>
    </w:p>
    <w:p w14:paraId="4F3654D2">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3.4.1电缆本体损伤或异常。</w:t>
      </w:r>
    </w:p>
    <w:p w14:paraId="4C197D42">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3.4.2电缆接头异常。</w:t>
      </w:r>
    </w:p>
    <w:p w14:paraId="7B4B4F3D">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3.4.3电缆标志牌缺失。</w:t>
      </w:r>
    </w:p>
    <w:p w14:paraId="1E8C49F1">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3.5分支箱、环网柜巡视内容:</w:t>
      </w:r>
    </w:p>
    <w:p w14:paraId="2F67F3FB">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3.5.1设备名称缺失或模糊。</w:t>
      </w:r>
    </w:p>
    <w:p w14:paraId="03696232">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3.5.2外壳锈蚀老化、被撞变形、铰链损坏。</w:t>
      </w:r>
    </w:p>
    <w:p w14:paraId="57EDD183">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3.5.3基础沉降损坏、低洼易水淹。</w:t>
      </w:r>
    </w:p>
    <w:p w14:paraId="4A1F9940">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3.5.4挂锁缺失或损坏。</w:t>
      </w:r>
    </w:p>
    <w:p w14:paraId="7786CD4A">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3.5.5内部封堵不到位。</w:t>
      </w:r>
    </w:p>
    <w:p w14:paraId="0AA7AF54">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3.5.6环网柜内部柜体、机构锈蚀，带电显示器、电管指示灯故障。</w:t>
      </w:r>
    </w:p>
    <w:p w14:paraId="0ECB785A">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3.5.7电缆头异常。</w:t>
      </w:r>
    </w:p>
    <w:p w14:paraId="6ECDAB00">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eastAsia="宋体" w:cs="宋体"/>
          <w:b/>
          <w:bCs w:val="0"/>
          <w:sz w:val="24"/>
          <w:szCs w:val="24"/>
          <w:highlight w:val="none"/>
          <w:lang w:val="en-US" w:eastAsia="zh-CN"/>
        </w:rPr>
        <w:t>★</w:t>
      </w:r>
      <w:r>
        <w:rPr>
          <w:rFonts w:hint="eastAsia" w:ascii="宋体" w:hAnsi="宋体" w:cs="Times New Roman"/>
          <w:b/>
          <w:bCs w:val="0"/>
          <w:sz w:val="24"/>
          <w:szCs w:val="24"/>
          <w:highlight w:val="none"/>
          <w:lang w:val="en-US" w:eastAsia="zh-CN"/>
        </w:rPr>
        <w:t>4.人员要求：</w:t>
      </w:r>
    </w:p>
    <w:p w14:paraId="7621934C">
      <w:pPr>
        <w:pStyle w:val="259"/>
        <w:numPr>
          <w:ilvl w:val="0"/>
          <w:numId w:val="0"/>
        </w:numPr>
        <w:spacing w:line="360" w:lineRule="auto"/>
        <w:ind w:firstLine="48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4.1</w:t>
      </w:r>
      <w:r>
        <w:rPr>
          <w:rFonts w:hint="eastAsia" w:ascii="宋体" w:hAnsi="宋体" w:cs="宋体"/>
          <w:b w:val="0"/>
          <w:bCs/>
          <w:sz w:val="24"/>
          <w:szCs w:val="24"/>
          <w:highlight w:val="none"/>
          <w:lang w:val="en-US" w:eastAsia="zh-CN"/>
        </w:rPr>
        <w:t>项目</w:t>
      </w:r>
      <w:r>
        <w:rPr>
          <w:rFonts w:hint="eastAsia" w:ascii="宋体" w:hAnsi="宋体" w:eastAsia="宋体" w:cs="宋体"/>
          <w:b w:val="0"/>
          <w:bCs/>
          <w:sz w:val="24"/>
          <w:szCs w:val="24"/>
          <w:highlight w:val="none"/>
          <w:lang w:val="en-US" w:eastAsia="zh-CN"/>
        </w:rPr>
        <w:t>负责人：1人，男性，</w:t>
      </w:r>
      <w:r>
        <w:rPr>
          <w:rFonts w:hint="eastAsia" w:ascii="宋体" w:hAnsi="宋体" w:cs="宋体"/>
          <w:b w:val="0"/>
          <w:bCs/>
          <w:sz w:val="24"/>
          <w:szCs w:val="24"/>
          <w:highlight w:val="none"/>
          <w:lang w:val="en-US" w:eastAsia="zh-CN"/>
        </w:rPr>
        <w:t>具有</w:t>
      </w:r>
      <w:r>
        <w:rPr>
          <w:rFonts w:hint="eastAsia" w:ascii="宋体" w:hAnsi="宋体" w:eastAsia="宋体" w:cs="宋体"/>
          <w:b w:val="0"/>
          <w:bCs/>
          <w:sz w:val="24"/>
          <w:szCs w:val="24"/>
          <w:highlight w:val="none"/>
          <w:lang w:val="en-US" w:eastAsia="zh-CN"/>
        </w:rPr>
        <w:t>3年</w:t>
      </w:r>
      <w:r>
        <w:rPr>
          <w:rFonts w:hint="eastAsia" w:ascii="宋体" w:hAnsi="宋体" w:cs="宋体"/>
          <w:b w:val="0"/>
          <w:bCs/>
          <w:sz w:val="24"/>
          <w:szCs w:val="24"/>
          <w:highlight w:val="none"/>
          <w:lang w:val="en-US" w:eastAsia="zh-CN"/>
        </w:rPr>
        <w:t>及以上电力行业工作经验</w:t>
      </w:r>
      <w:r>
        <w:rPr>
          <w:rFonts w:hint="eastAsia" w:ascii="宋体" w:hAnsi="宋体" w:eastAsia="宋体" w:cs="宋体"/>
          <w:b w:val="0"/>
          <w:bCs/>
          <w:sz w:val="24"/>
          <w:szCs w:val="24"/>
          <w:highlight w:val="none"/>
          <w:lang w:val="en-US" w:eastAsia="zh-CN"/>
        </w:rPr>
        <w:t>，持有有效期内高压电工证（政府部门），满足国家规定的法定就业年龄，无犯罪记录。中标人在签订合同时提供</w:t>
      </w:r>
      <w:r>
        <w:rPr>
          <w:rFonts w:hint="eastAsia" w:ascii="宋体" w:hAnsi="宋体" w:cs="宋体"/>
          <w:b w:val="0"/>
          <w:bCs/>
          <w:sz w:val="24"/>
          <w:szCs w:val="24"/>
          <w:highlight w:val="none"/>
          <w:lang w:val="en-US" w:eastAsia="zh-CN"/>
        </w:rPr>
        <w:t>项目负责人的</w:t>
      </w:r>
      <w:r>
        <w:rPr>
          <w:rFonts w:hint="eastAsia" w:ascii="宋体" w:hAnsi="宋体" w:eastAsia="宋体" w:cs="宋体"/>
          <w:b w:val="0"/>
          <w:bCs/>
          <w:sz w:val="24"/>
          <w:szCs w:val="24"/>
          <w:highlight w:val="none"/>
          <w:lang w:val="en-US" w:eastAsia="zh-CN"/>
        </w:rPr>
        <w:t>健康体检报告</w:t>
      </w:r>
      <w:r>
        <w:rPr>
          <w:rFonts w:hint="eastAsia" w:ascii="宋体" w:hAnsi="宋体" w:cs="宋体"/>
          <w:b w:val="0"/>
          <w:bCs/>
          <w:sz w:val="24"/>
          <w:szCs w:val="24"/>
          <w:highlight w:val="none"/>
          <w:lang w:val="en-US" w:eastAsia="zh-CN"/>
        </w:rPr>
        <w:t>。</w:t>
      </w:r>
    </w:p>
    <w:p w14:paraId="1D07FE91">
      <w:pPr>
        <w:pStyle w:val="259"/>
        <w:numPr>
          <w:ilvl w:val="0"/>
          <w:numId w:val="0"/>
        </w:numPr>
        <w:spacing w:line="360" w:lineRule="auto"/>
        <w:ind w:firstLine="480"/>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4.2电工4人，男性，持有有效期内高压电工证（政府部门），满足国家规定的法定就业年龄，无犯罪记录。中标人在签订合同时提供电工</w:t>
      </w:r>
      <w:r>
        <w:rPr>
          <w:rFonts w:hint="eastAsia" w:ascii="宋体" w:hAnsi="宋体" w:cs="宋体"/>
          <w:b w:val="0"/>
          <w:bCs/>
          <w:sz w:val="24"/>
          <w:szCs w:val="24"/>
          <w:highlight w:val="none"/>
          <w:lang w:val="en-US" w:eastAsia="zh-CN"/>
        </w:rPr>
        <w:t>的</w:t>
      </w:r>
      <w:r>
        <w:rPr>
          <w:rFonts w:hint="eastAsia" w:ascii="宋体" w:hAnsi="宋体" w:eastAsia="宋体" w:cs="宋体"/>
          <w:b w:val="0"/>
          <w:bCs/>
          <w:sz w:val="24"/>
          <w:szCs w:val="24"/>
          <w:highlight w:val="none"/>
          <w:lang w:val="en-US" w:eastAsia="zh-CN"/>
        </w:rPr>
        <w:t>健康体检报告</w:t>
      </w:r>
      <w:r>
        <w:rPr>
          <w:rFonts w:hint="eastAsia" w:ascii="宋体" w:hAnsi="宋体" w:cs="宋体"/>
          <w:b w:val="0"/>
          <w:bCs/>
          <w:sz w:val="24"/>
          <w:szCs w:val="24"/>
          <w:highlight w:val="none"/>
          <w:lang w:val="en-US" w:eastAsia="zh-CN"/>
        </w:rPr>
        <w:t>。</w:t>
      </w:r>
    </w:p>
    <w:p w14:paraId="149B37C8">
      <w:pPr>
        <w:pStyle w:val="259"/>
        <w:numPr>
          <w:ilvl w:val="0"/>
          <w:numId w:val="6"/>
        </w:numPr>
        <w:spacing w:line="460" w:lineRule="exact"/>
        <w:ind w:left="481" w:leftChars="0" w:firstLine="0" w:firstLineChars="0"/>
        <w:rPr>
          <w:rFonts w:hint="eastAsia" w:ascii="宋体" w:hAnsi="宋体" w:cs="Times New Roman"/>
          <w:b/>
          <w:bCs w:val="0"/>
          <w:sz w:val="24"/>
          <w:szCs w:val="24"/>
          <w:highlight w:val="none"/>
          <w:lang w:val="en-US" w:eastAsia="zh-CN"/>
        </w:rPr>
      </w:pPr>
      <w:r>
        <w:rPr>
          <w:rFonts w:hint="eastAsia" w:ascii="宋体" w:hAnsi="宋体" w:cs="Times New Roman"/>
          <w:b/>
          <w:bCs w:val="0"/>
          <w:sz w:val="24"/>
          <w:szCs w:val="24"/>
          <w:highlight w:val="none"/>
          <w:lang w:val="en-US" w:eastAsia="zh-CN"/>
        </w:rPr>
        <w:t>履约要求</w:t>
      </w:r>
    </w:p>
    <w:p w14:paraId="077DE4E2">
      <w:pPr>
        <w:pStyle w:val="259"/>
        <w:widowControl w:val="0"/>
        <w:numPr>
          <w:ilvl w:val="0"/>
          <w:numId w:val="0"/>
        </w:numPr>
        <w:spacing w:line="460" w:lineRule="exact"/>
        <w:ind w:firstLine="480" w:firstLineChars="200"/>
        <w:jc w:val="both"/>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5.1</w:t>
      </w:r>
      <w:r>
        <w:rPr>
          <w:rFonts w:hint="default" w:ascii="宋体" w:hAnsi="宋体" w:cs="Times New Roman"/>
          <w:b w:val="0"/>
          <w:bCs/>
          <w:sz w:val="24"/>
          <w:szCs w:val="24"/>
          <w:highlight w:val="none"/>
          <w:lang w:val="en-US" w:eastAsia="zh-CN"/>
        </w:rPr>
        <w:t>服务期间交通工具自备，所有安全责任自负，与采购人无涉。</w:t>
      </w:r>
    </w:p>
    <w:p w14:paraId="0396B9D1">
      <w:pPr>
        <w:pStyle w:val="259"/>
        <w:widowControl w:val="0"/>
        <w:numPr>
          <w:ilvl w:val="0"/>
          <w:numId w:val="0"/>
        </w:numPr>
        <w:spacing w:line="460" w:lineRule="exact"/>
        <w:ind w:firstLine="480" w:firstLineChars="200"/>
        <w:jc w:val="both"/>
        <w:rPr>
          <w:rFonts w:hint="default" w:ascii="宋体" w:hAnsi="宋体" w:cs="Times New Roman"/>
          <w:b w:val="0"/>
          <w:bCs/>
          <w:sz w:val="24"/>
          <w:szCs w:val="24"/>
          <w:highlight w:val="none"/>
          <w:lang w:val="en-US" w:eastAsia="zh-CN"/>
        </w:rPr>
      </w:pPr>
      <w:r>
        <w:rPr>
          <w:rFonts w:hint="default" w:ascii="宋体" w:hAnsi="宋体" w:cs="Times New Roman"/>
          <w:b w:val="0"/>
          <w:bCs/>
          <w:sz w:val="24"/>
          <w:szCs w:val="24"/>
          <w:highlight w:val="none"/>
          <w:lang w:val="en-US" w:eastAsia="zh-CN"/>
        </w:rPr>
        <w:t>5.</w:t>
      </w:r>
      <w:r>
        <w:rPr>
          <w:rFonts w:hint="eastAsia" w:ascii="宋体" w:hAnsi="宋体" w:cs="Times New Roman"/>
          <w:b w:val="0"/>
          <w:bCs/>
          <w:sz w:val="24"/>
          <w:szCs w:val="24"/>
          <w:highlight w:val="none"/>
          <w:lang w:val="en-US" w:eastAsia="zh-CN"/>
        </w:rPr>
        <w:t>2</w:t>
      </w:r>
      <w:r>
        <w:rPr>
          <w:rFonts w:hint="default" w:ascii="宋体" w:hAnsi="宋体" w:cs="Times New Roman"/>
          <w:b w:val="0"/>
          <w:bCs/>
          <w:sz w:val="24"/>
          <w:szCs w:val="24"/>
          <w:highlight w:val="none"/>
          <w:lang w:val="en-US" w:eastAsia="zh-CN"/>
        </w:rPr>
        <w:t>中标人维护、检修需严格按照国家电力行业相关标准执行，在完成巡线、维修、抢修整个过程中出现的一切安全责任由中标人承担，与采购人无关。</w:t>
      </w:r>
    </w:p>
    <w:p w14:paraId="0F6FB601">
      <w:pPr>
        <w:pStyle w:val="259"/>
        <w:widowControl w:val="0"/>
        <w:numPr>
          <w:ilvl w:val="0"/>
          <w:numId w:val="0"/>
        </w:numPr>
        <w:spacing w:line="460" w:lineRule="exact"/>
        <w:ind w:firstLine="480" w:firstLineChars="200"/>
        <w:jc w:val="both"/>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5.3</w:t>
      </w:r>
      <w:r>
        <w:rPr>
          <w:rFonts w:hint="default" w:ascii="宋体" w:hAnsi="宋体" w:cs="Times New Roman"/>
          <w:b w:val="0"/>
          <w:bCs/>
          <w:sz w:val="24"/>
          <w:szCs w:val="24"/>
          <w:highlight w:val="none"/>
          <w:lang w:val="en-US" w:eastAsia="zh-CN"/>
        </w:rPr>
        <w:t>巡线、维修、抢修工作过程中操作失当造成的一切后果由中标人承担。</w:t>
      </w:r>
    </w:p>
    <w:p w14:paraId="195163B8">
      <w:pPr>
        <w:pStyle w:val="259"/>
        <w:widowControl w:val="0"/>
        <w:numPr>
          <w:ilvl w:val="0"/>
          <w:numId w:val="0"/>
        </w:numPr>
        <w:spacing w:line="460" w:lineRule="exact"/>
        <w:ind w:firstLine="480" w:firstLineChars="200"/>
        <w:jc w:val="both"/>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5.4</w:t>
      </w:r>
      <w:r>
        <w:rPr>
          <w:rFonts w:hint="default" w:ascii="宋体" w:hAnsi="宋体" w:cs="Times New Roman"/>
          <w:b w:val="0"/>
          <w:bCs/>
          <w:sz w:val="24"/>
          <w:szCs w:val="24"/>
          <w:highlight w:val="none"/>
          <w:lang w:val="en-US" w:eastAsia="zh-CN"/>
        </w:rPr>
        <w:t>因巡检工作不到位或未及时维修、抢修造成采购人损失的，由中标人赔偿。</w:t>
      </w:r>
    </w:p>
    <w:p w14:paraId="26DC0D10">
      <w:pPr>
        <w:pStyle w:val="259"/>
        <w:widowControl w:val="0"/>
        <w:numPr>
          <w:ilvl w:val="0"/>
          <w:numId w:val="0"/>
        </w:numPr>
        <w:spacing w:line="460" w:lineRule="exact"/>
        <w:ind w:firstLine="480" w:firstLineChars="200"/>
        <w:jc w:val="both"/>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5.5</w:t>
      </w:r>
      <w:r>
        <w:rPr>
          <w:rFonts w:hint="default" w:ascii="宋体" w:hAnsi="宋体" w:cs="Times New Roman"/>
          <w:b w:val="0"/>
          <w:bCs/>
          <w:sz w:val="24"/>
          <w:szCs w:val="24"/>
          <w:highlight w:val="none"/>
          <w:lang w:val="en-US" w:eastAsia="zh-CN"/>
        </w:rPr>
        <w:t>采购人有权对中标人的施工质量进行监管。</w:t>
      </w:r>
    </w:p>
    <w:p w14:paraId="5BFD2390">
      <w:pPr>
        <w:pStyle w:val="259"/>
        <w:widowControl w:val="0"/>
        <w:numPr>
          <w:ilvl w:val="0"/>
          <w:numId w:val="0"/>
        </w:numPr>
        <w:spacing w:line="460" w:lineRule="exact"/>
        <w:ind w:firstLine="240" w:firstLineChars="100"/>
        <w:jc w:val="both"/>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 xml:space="preserve">  5.6</w:t>
      </w:r>
      <w:r>
        <w:rPr>
          <w:rFonts w:hint="default" w:ascii="宋体" w:hAnsi="宋体" w:cs="Times New Roman"/>
          <w:b w:val="0"/>
          <w:bCs/>
          <w:sz w:val="24"/>
          <w:szCs w:val="24"/>
          <w:highlight w:val="none"/>
          <w:lang w:val="en-US" w:eastAsia="zh-CN"/>
        </w:rPr>
        <w:t>所有巡线、维修、抢修工作不计人工费、措施费、设施费、交通费等所有费用，采购人不再另行支付费用。</w:t>
      </w:r>
    </w:p>
    <w:p w14:paraId="0DAA9400">
      <w:pPr>
        <w:pStyle w:val="259"/>
        <w:widowControl w:val="0"/>
        <w:numPr>
          <w:ilvl w:val="0"/>
          <w:numId w:val="0"/>
        </w:numPr>
        <w:spacing w:line="460" w:lineRule="exact"/>
        <w:jc w:val="both"/>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 xml:space="preserve">    5.7</w:t>
      </w:r>
      <w:r>
        <w:rPr>
          <w:rFonts w:hint="default" w:ascii="宋体" w:hAnsi="宋体" w:cs="Times New Roman"/>
          <w:b w:val="0"/>
          <w:bCs/>
          <w:sz w:val="24"/>
          <w:szCs w:val="24"/>
          <w:highlight w:val="none"/>
          <w:lang w:val="en-US" w:eastAsia="zh-CN"/>
        </w:rPr>
        <w:t>维修、抢修人员的工具、安全保护设施以及劳动保护用品由中标人自备，不认定为材料费，采购人不再另行支付费用。</w:t>
      </w:r>
    </w:p>
    <w:p w14:paraId="067DE0FD">
      <w:pPr>
        <w:pStyle w:val="259"/>
        <w:widowControl w:val="0"/>
        <w:numPr>
          <w:ilvl w:val="0"/>
          <w:numId w:val="0"/>
        </w:numPr>
        <w:spacing w:line="460" w:lineRule="exact"/>
        <w:ind w:firstLine="480"/>
        <w:jc w:val="both"/>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5.8</w:t>
      </w:r>
      <w:r>
        <w:rPr>
          <w:rFonts w:hint="default" w:ascii="宋体" w:hAnsi="宋体" w:cs="Times New Roman"/>
          <w:b w:val="0"/>
          <w:bCs/>
          <w:sz w:val="24"/>
          <w:szCs w:val="24"/>
          <w:highlight w:val="none"/>
          <w:lang w:val="en-US" w:eastAsia="zh-CN"/>
        </w:rPr>
        <w:t>中标人被投诉，经采购人调查存在不当行为的，扣200元/次。</w:t>
      </w:r>
    </w:p>
    <w:p w14:paraId="49EE002F">
      <w:pPr>
        <w:pStyle w:val="259"/>
        <w:widowControl w:val="0"/>
        <w:numPr>
          <w:ilvl w:val="0"/>
          <w:numId w:val="0"/>
        </w:numPr>
        <w:spacing w:line="460" w:lineRule="exact"/>
        <w:jc w:val="both"/>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 xml:space="preserve">    5.9</w:t>
      </w:r>
      <w:r>
        <w:rPr>
          <w:rFonts w:hint="default" w:ascii="宋体" w:hAnsi="宋体" w:cs="Times New Roman"/>
          <w:b w:val="0"/>
          <w:bCs/>
          <w:sz w:val="24"/>
          <w:szCs w:val="24"/>
          <w:highlight w:val="none"/>
          <w:lang w:val="en-US" w:eastAsia="zh-CN"/>
        </w:rPr>
        <w:t>中标人违反采购人相关管理制度的，采购人有权对中标人进行经济处罚，每次200元。</w:t>
      </w:r>
    </w:p>
    <w:p w14:paraId="1D18FC11">
      <w:pPr>
        <w:pStyle w:val="259"/>
        <w:widowControl w:val="0"/>
        <w:numPr>
          <w:ilvl w:val="0"/>
          <w:numId w:val="0"/>
        </w:numPr>
        <w:spacing w:line="460" w:lineRule="exact"/>
        <w:ind w:firstLine="480"/>
        <w:jc w:val="both"/>
        <w:rPr>
          <w:rFonts w:hint="default" w:ascii="宋体" w:hAnsi="宋体" w:cs="Times New Roman"/>
          <w:b/>
          <w:bCs w:val="0"/>
          <w:sz w:val="24"/>
          <w:szCs w:val="24"/>
          <w:highlight w:val="none"/>
          <w:lang w:val="en-US" w:eastAsia="zh-CN"/>
        </w:rPr>
      </w:pPr>
      <w:r>
        <w:rPr>
          <w:rFonts w:hint="eastAsia" w:ascii="宋体" w:hAnsi="宋体" w:cs="Times New Roman"/>
          <w:b w:val="0"/>
          <w:bCs/>
          <w:sz w:val="24"/>
          <w:szCs w:val="24"/>
          <w:highlight w:val="none"/>
          <w:lang w:val="en-US" w:eastAsia="zh-CN"/>
        </w:rPr>
        <w:t>5.10</w:t>
      </w:r>
      <w:r>
        <w:rPr>
          <w:rFonts w:hint="default" w:ascii="宋体" w:hAnsi="宋体" w:cs="Times New Roman"/>
          <w:b w:val="0"/>
          <w:bCs/>
          <w:sz w:val="24"/>
          <w:szCs w:val="24"/>
          <w:highlight w:val="none"/>
          <w:lang w:val="en-US" w:eastAsia="zh-CN"/>
        </w:rPr>
        <w:t>维修维保工作中如需要使用到材料，材料由采购人提供，如材料由采购人委托中标人提供的，则材料费需接受采购人审计后予以结算。材料更换所产出的其他一切费用均由中标人承担。</w:t>
      </w:r>
    </w:p>
    <w:p w14:paraId="71822F08">
      <w:pPr>
        <w:pStyle w:val="259"/>
        <w:numPr>
          <w:ilvl w:val="0"/>
          <w:numId w:val="0"/>
        </w:numPr>
        <w:spacing w:line="460" w:lineRule="exact"/>
        <w:rPr>
          <w:rFonts w:hint="eastAsia" w:ascii="宋体" w:hAnsi="宋体" w:cs="Times New Roman"/>
          <w:b/>
          <w:bCs w:val="0"/>
          <w:sz w:val="24"/>
          <w:szCs w:val="24"/>
          <w:highlight w:val="none"/>
          <w:lang w:val="en-US" w:eastAsia="zh-CN"/>
        </w:rPr>
      </w:pPr>
      <w:r>
        <w:rPr>
          <w:rFonts w:hint="eastAsia" w:ascii="宋体" w:hAnsi="宋体" w:cs="Times New Roman"/>
          <w:b/>
          <w:bCs w:val="0"/>
          <w:sz w:val="24"/>
          <w:szCs w:val="24"/>
          <w:highlight w:val="none"/>
          <w:lang w:val="en-US" w:eastAsia="zh-CN"/>
        </w:rPr>
        <w:t>★四、商务要求</w:t>
      </w:r>
    </w:p>
    <w:p w14:paraId="5D40DD28">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1.采购预算：146.40万元。</w:t>
      </w:r>
    </w:p>
    <w:p w14:paraId="06CEAB0B">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2.最高限价：146.40万元。</w:t>
      </w:r>
    </w:p>
    <w:p w14:paraId="52597638">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3.服务期限：自合同签订之日起3年。</w:t>
      </w:r>
    </w:p>
    <w:p w14:paraId="6EB3811E">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4.付款方式：</w:t>
      </w:r>
    </w:p>
    <w:p w14:paraId="7B67F985">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合同签订后，采购人在收到中标人提供相应金额的正规发票后10个工作日内支付合同价10%的预付款；</w:t>
      </w:r>
    </w:p>
    <w:p w14:paraId="797C2E48">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1)合同总价÷36=月度服务费。</w:t>
      </w:r>
    </w:p>
    <w:p w14:paraId="0BAE9198">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2)完成当月工作后，在次月15日前根据考核情况支付相应月度费用。</w:t>
      </w:r>
    </w:p>
    <w:p w14:paraId="24E3F547">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3)甲方在扣除合同价10%的预付款后逐月支付。</w:t>
      </w:r>
    </w:p>
    <w:p w14:paraId="535A925B">
      <w:pPr>
        <w:pStyle w:val="259"/>
        <w:numPr>
          <w:ilvl w:val="0"/>
          <w:numId w:val="0"/>
        </w:numPr>
        <w:spacing w:line="460" w:lineRule="exact"/>
        <w:ind w:firstLine="480"/>
        <w:rPr>
          <w:rFonts w:hint="default" w:ascii="宋体" w:hAnsi="宋体" w:cs="Times New Roman"/>
          <w:b/>
          <w:bCs w:val="0"/>
          <w:sz w:val="24"/>
          <w:szCs w:val="24"/>
          <w:highlight w:val="none"/>
          <w:lang w:val="en-US" w:eastAsia="zh-CN"/>
        </w:rPr>
      </w:pPr>
      <w:r>
        <w:rPr>
          <w:rFonts w:hint="eastAsia" w:ascii="宋体" w:hAnsi="宋体" w:cs="Times New Roman"/>
          <w:b/>
          <w:bCs w:val="0"/>
          <w:sz w:val="24"/>
          <w:szCs w:val="24"/>
          <w:highlight w:val="none"/>
          <w:lang w:val="en-US" w:eastAsia="zh-CN"/>
        </w:rPr>
        <w:t>5.考核要求</w:t>
      </w:r>
    </w:p>
    <w:p w14:paraId="3A1AFB00">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采购人每月对高压配电房运维服务及10KV高压专线（双路）运维服务质量按照考核表进行考核（考核表见表1），考核分数计算如下（保留小数点一位）。</w:t>
      </w:r>
    </w:p>
    <w:p w14:paraId="19E6A488">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（1）考核分在90分以上，月度服务费全额支付；</w:t>
      </w:r>
    </w:p>
    <w:p w14:paraId="687A7C1E">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（2）考核分在80-90分，扣除当月服务费的2%予以结算；</w:t>
      </w:r>
    </w:p>
    <w:p w14:paraId="7AED0952">
      <w:pPr>
        <w:pStyle w:val="259"/>
        <w:numPr>
          <w:ilvl w:val="0"/>
          <w:numId w:val="0"/>
        </w:numPr>
        <w:spacing w:line="460" w:lineRule="exact"/>
        <w:ind w:firstLine="480"/>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（3）考核分在80分以下的，扣除当月服务费的4%予以结算，书面警告一次，全年出现三次警告，采购人有权单方面终止合同，中标人需承担违约金70000元（不包括考核扣款）。</w:t>
      </w:r>
    </w:p>
    <w:p w14:paraId="04D497E2">
      <w:pPr>
        <w:pStyle w:val="259"/>
        <w:numPr>
          <w:ilvl w:val="0"/>
          <w:numId w:val="0"/>
        </w:numPr>
        <w:spacing w:line="460" w:lineRule="exact"/>
        <w:ind w:firstLine="480"/>
        <w:rPr>
          <w:rFonts w:hint="eastAsia" w:ascii="宋体" w:hAnsi="宋体" w:cs="Times New Roman"/>
          <w:b/>
          <w:bCs w:val="0"/>
          <w:sz w:val="24"/>
          <w:szCs w:val="24"/>
          <w:highlight w:val="none"/>
          <w:lang w:val="en-US" w:eastAsia="zh-CN"/>
        </w:rPr>
      </w:pPr>
      <w:r>
        <w:rPr>
          <w:rFonts w:hint="eastAsia" w:ascii="宋体" w:hAnsi="宋体" w:cs="Times New Roman"/>
          <w:b/>
          <w:bCs w:val="0"/>
          <w:sz w:val="24"/>
          <w:szCs w:val="24"/>
          <w:highlight w:val="none"/>
          <w:lang w:val="en-US" w:eastAsia="zh-CN"/>
        </w:rPr>
        <w:t>6.验收要求：</w:t>
      </w:r>
    </w:p>
    <w:p w14:paraId="58CF8728">
      <w:pPr>
        <w:pStyle w:val="259"/>
        <w:numPr>
          <w:ilvl w:val="0"/>
          <w:numId w:val="0"/>
        </w:numPr>
        <w:spacing w:line="460" w:lineRule="exact"/>
        <w:ind w:firstLine="480"/>
        <w:rPr>
          <w:rFonts w:hint="default"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按照招标文件要求每月进行验收。</w:t>
      </w:r>
    </w:p>
    <w:p w14:paraId="34F9BD17">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bCs w:val="0"/>
          <w:sz w:val="24"/>
          <w:szCs w:val="24"/>
          <w:highlight w:val="none"/>
          <w:lang w:val="en-US" w:eastAsia="zh-CN"/>
        </w:rPr>
        <w:t>7.投标货币：</w:t>
      </w:r>
      <w:r>
        <w:rPr>
          <w:rFonts w:hint="eastAsia" w:ascii="宋体" w:hAnsi="宋体" w:cs="Times New Roman"/>
          <w:b w:val="0"/>
          <w:bCs/>
          <w:sz w:val="24"/>
          <w:szCs w:val="24"/>
          <w:highlight w:val="none"/>
          <w:lang w:val="en-US" w:eastAsia="zh-CN"/>
        </w:rPr>
        <w:t>投标文件中的所有服务单价和总价采用人民币报价，以元为单位标注。</w:t>
      </w:r>
    </w:p>
    <w:p w14:paraId="21D4FC8C">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bCs w:val="0"/>
          <w:sz w:val="24"/>
          <w:szCs w:val="24"/>
          <w:highlight w:val="none"/>
          <w:lang w:val="en-US" w:eastAsia="zh-CN"/>
        </w:rPr>
        <w:t>8.知识产权：</w:t>
      </w:r>
      <w:r>
        <w:rPr>
          <w:rFonts w:hint="eastAsia" w:ascii="宋体" w:hAnsi="宋体" w:cs="Times New Roman"/>
          <w:b w:val="0"/>
          <w:bCs/>
          <w:sz w:val="24"/>
          <w:szCs w:val="24"/>
          <w:highlight w:val="none"/>
          <w:lang w:val="en-US" w:eastAsia="zh-CN"/>
        </w:rPr>
        <w:t xml:space="preserve"> </w:t>
      </w:r>
    </w:p>
    <w:p w14:paraId="275B18D6">
      <w:pPr>
        <w:pStyle w:val="259"/>
        <w:numPr>
          <w:ilvl w:val="0"/>
          <w:numId w:val="0"/>
        </w:numPr>
        <w:spacing w:line="460" w:lineRule="exact"/>
        <w:ind w:firstLine="48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（1）供应商必须保证投标文件、中标后提供的文件及资料均未侵犯他人的知识产权，否则必须承担由此引起的全部法律责任和经济责任。</w:t>
      </w:r>
    </w:p>
    <w:p w14:paraId="09FEDFD4">
      <w:pPr>
        <w:pStyle w:val="259"/>
        <w:numPr>
          <w:ilvl w:val="0"/>
          <w:numId w:val="0"/>
        </w:numPr>
        <w:spacing w:line="460" w:lineRule="exact"/>
        <w:ind w:firstLine="480" w:firstLineChars="200"/>
        <w:rPr>
          <w:rFonts w:hint="eastAsia" w:ascii="宋体" w:hAnsi="宋体" w:cs="Times New Roman"/>
          <w:b w:val="0"/>
          <w:bCs/>
          <w:sz w:val="24"/>
          <w:szCs w:val="24"/>
          <w:highlight w:val="none"/>
          <w:lang w:val="en-US" w:eastAsia="zh-CN"/>
        </w:rPr>
      </w:pPr>
      <w:r>
        <w:rPr>
          <w:rFonts w:hint="eastAsia" w:ascii="宋体" w:hAnsi="宋体" w:cs="Times New Roman"/>
          <w:b w:val="0"/>
          <w:bCs/>
          <w:sz w:val="24"/>
          <w:szCs w:val="24"/>
          <w:highlight w:val="none"/>
          <w:lang w:val="en-US" w:eastAsia="zh-CN"/>
        </w:rPr>
        <w:t>（2）供应商提交的所有投标文件及成果，其所有权均归采购人所有，采购人可任意使用其全部成果。成交及未成交供应商的投标文件在递交后均不予退回。</w:t>
      </w:r>
    </w:p>
    <w:p w14:paraId="30F31209">
      <w:pPr>
        <w:widowControl/>
        <w:spacing w:line="490" w:lineRule="exact"/>
        <w:ind w:firstLine="200"/>
        <w:rPr>
          <w:rFonts w:eastAsia="Times New Roman"/>
          <w:sz w:val="24"/>
          <w:szCs w:val="24"/>
          <w:highlight w:val="none"/>
        </w:rPr>
      </w:pPr>
      <w:r>
        <w:rPr>
          <w:rFonts w:ascii="宋体" w:hAnsi="宋体" w:cs="宋体"/>
          <w:b/>
          <w:bCs/>
          <w:sz w:val="24"/>
          <w:szCs w:val="24"/>
          <w:highlight w:val="none"/>
        </w:rPr>
        <w:t>注：对项目需求部分的询问、质疑请向采购人提出，询问、质疑由采购人负责解释。</w:t>
      </w:r>
    </w:p>
    <w:p w14:paraId="3B85EE0B">
      <w:pPr>
        <w:pStyle w:val="187"/>
        <w:spacing w:line="360" w:lineRule="auto"/>
        <w:ind w:firstLine="241" w:firstLineChars="100"/>
        <w:jc w:val="center"/>
        <w:rPr>
          <w:rFonts w:hint="eastAsia" w:ascii="宋体" w:hAnsi="宋体"/>
          <w:color w:val="000000"/>
          <w:sz w:val="36"/>
          <w:highlight w:val="none"/>
        </w:rPr>
      </w:pPr>
      <w:r>
        <w:rPr>
          <w:rFonts w:ascii="宋体" w:hAnsi="宋体" w:eastAsia="宋体" w:cs="宋体"/>
          <w:b/>
          <w:bCs/>
          <w:sz w:val="24"/>
          <w:szCs w:val="24"/>
          <w:highlight w:val="none"/>
          <w:lang w:val="en-US" w:eastAsia="zh-CN" w:bidi="ar-SA"/>
        </w:rPr>
        <w:t>本部分标注“★”实质性要求，必须响应，不允许负偏离，否则作为无效投标处理</w:t>
      </w:r>
      <w:r>
        <w:rPr>
          <w:rFonts w:hint="eastAsia" w:ascii="宋体" w:hAnsi="宋体" w:eastAsia="宋体" w:cs="宋体"/>
          <w:b/>
          <w:bCs/>
          <w:sz w:val="24"/>
          <w:szCs w:val="24"/>
          <w:highlight w:val="none"/>
          <w:lang w:val="en-US" w:eastAsia="zh-CN" w:bidi="ar-SA"/>
        </w:rPr>
        <w:t>。</w:t>
      </w:r>
      <w:bookmarkEnd w:id="271"/>
      <w:r>
        <w:rPr>
          <w:rFonts w:hint="eastAsia" w:ascii="宋体" w:hAnsi="宋体" w:eastAsia="宋体" w:cs="宋体"/>
          <w:color w:val="000000"/>
          <w:sz w:val="24"/>
          <w:szCs w:val="24"/>
          <w:highlight w:val="none"/>
        </w:rPr>
        <w:br w:type="page" w:clear="all"/>
      </w:r>
      <w:bookmarkStart w:id="275" w:name="_Toc22975"/>
      <w:r>
        <w:rPr>
          <w:rFonts w:hint="eastAsia" w:ascii="宋体" w:hAnsi="宋体"/>
          <w:color w:val="000000"/>
          <w:sz w:val="36"/>
          <w:highlight w:val="none"/>
        </w:rPr>
        <w:t>第五部分  磋商及评审</w:t>
      </w:r>
      <w:bookmarkEnd w:id="272"/>
      <w:bookmarkEnd w:id="273"/>
      <w:bookmarkEnd w:id="275"/>
    </w:p>
    <w:p w14:paraId="341D513D">
      <w:pPr>
        <w:rPr>
          <w:highlight w:val="none"/>
        </w:rPr>
      </w:pPr>
      <w:bookmarkStart w:id="276" w:name="EB3e987622cda240fbaa0d00db8ee8a65f"/>
      <w:r>
        <w:rPr>
          <w:rFonts w:hint="eastAsia"/>
          <w:color w:val="000080"/>
          <w:sz w:val="20"/>
          <w:highlight w:val="none"/>
        </w:rPr>
        <w:t xml:space="preserve"> </w:t>
      </w:r>
      <w:bookmarkEnd w:id="276"/>
      <w:bookmarkStart w:id="277" w:name="EB3b5ad14e1e6f44e286f850fc9c9ebf65"/>
      <w:r>
        <w:rPr>
          <w:rFonts w:hint="eastAsia"/>
          <w:color w:val="000080"/>
          <w:sz w:val="20"/>
          <w:highlight w:val="none"/>
        </w:rPr>
        <w:t xml:space="preserve"> </w:t>
      </w:r>
      <w:bookmarkEnd w:id="277"/>
    </w:p>
    <w:p w14:paraId="791C3CA5">
      <w:pPr>
        <w:pStyle w:val="188"/>
        <w:spacing w:line="400" w:lineRule="exact"/>
        <w:ind w:firstLine="321"/>
        <w:jc w:val="left"/>
        <w:rPr>
          <w:rFonts w:ascii="宋体" w:hAnsi="宋体" w:eastAsia="宋体"/>
          <w:color w:val="000000"/>
          <w:sz w:val="32"/>
          <w:highlight w:val="none"/>
        </w:rPr>
      </w:pPr>
      <w:bookmarkStart w:id="278" w:name="_Toc73365514"/>
      <w:bookmarkStart w:id="279" w:name="_Toc73364901"/>
      <w:bookmarkStart w:id="280" w:name="_Toc13203"/>
      <w:r>
        <w:rPr>
          <w:rFonts w:hint="eastAsia" w:ascii="宋体" w:hAnsi="宋体" w:eastAsia="宋体"/>
          <w:color w:val="000000"/>
          <w:sz w:val="32"/>
          <w:highlight w:val="none"/>
        </w:rPr>
        <w:t>1．</w:t>
      </w:r>
      <w:r>
        <w:rPr>
          <w:rFonts w:ascii="宋体" w:hAnsi="宋体" w:eastAsia="宋体"/>
          <w:color w:val="000000"/>
          <w:sz w:val="32"/>
          <w:highlight w:val="none"/>
        </w:rPr>
        <w:t>磋商小组职责</w:t>
      </w:r>
      <w:bookmarkEnd w:id="278"/>
      <w:bookmarkEnd w:id="279"/>
      <w:bookmarkEnd w:id="280"/>
    </w:p>
    <w:p w14:paraId="538562FF">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1.1熟悉和理解磋商文件，如磋商文件内容违反国家有关强制性规定的，磋商小组应当停止评审并向采购人或者采购代理机构说明情况。</w:t>
      </w:r>
    </w:p>
    <w:p w14:paraId="5B4BBBDE">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1.2按照客观、公正、审慎的原则，根据磋商文件规定的评审程序、评审方法和评审标准进行独立评审。</w:t>
      </w:r>
    </w:p>
    <w:p w14:paraId="1F821EC9">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1.3起草评审报告并进行签署。</w:t>
      </w:r>
    </w:p>
    <w:p w14:paraId="37710CD5">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1.4推荐成交供应商。</w:t>
      </w:r>
    </w:p>
    <w:p w14:paraId="5A56E548">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1.5向采购人、采购代理机构、财政部门或者其他监督部门报告非法干预评审工作的行为。</w:t>
      </w:r>
    </w:p>
    <w:p w14:paraId="6B75C6DB">
      <w:pPr>
        <w:widowControl/>
        <w:spacing w:line="360" w:lineRule="auto"/>
        <w:ind w:firstLine="420"/>
        <w:rPr>
          <w:rFonts w:ascii="宋体" w:hAnsi="宋体"/>
          <w:color w:val="000000"/>
          <w:sz w:val="24"/>
          <w:highlight w:val="none"/>
        </w:rPr>
      </w:pPr>
      <w:r>
        <w:rPr>
          <w:rFonts w:hint="eastAsia" w:ascii="宋体" w:hAnsi="宋体"/>
          <w:color w:val="000000"/>
          <w:sz w:val="24"/>
          <w:highlight w:val="none"/>
        </w:rPr>
        <w:t>1.6法律、法规和规章规定的其他职责。</w:t>
      </w:r>
    </w:p>
    <w:p w14:paraId="1E829590">
      <w:pPr>
        <w:pStyle w:val="188"/>
        <w:spacing w:line="400" w:lineRule="exact"/>
        <w:ind w:firstLine="321"/>
        <w:jc w:val="left"/>
        <w:rPr>
          <w:rFonts w:ascii="宋体" w:hAnsi="宋体" w:eastAsia="宋体"/>
          <w:color w:val="000000"/>
          <w:sz w:val="32"/>
          <w:highlight w:val="none"/>
        </w:rPr>
      </w:pPr>
      <w:bookmarkStart w:id="281" w:name="_Toc73365515"/>
      <w:bookmarkStart w:id="282" w:name="_Toc73364902"/>
      <w:bookmarkStart w:id="283" w:name="_Toc11086"/>
      <w:r>
        <w:rPr>
          <w:rFonts w:hint="eastAsia" w:ascii="宋体" w:hAnsi="宋体" w:eastAsia="宋体"/>
          <w:color w:val="000000"/>
          <w:sz w:val="32"/>
          <w:highlight w:val="none"/>
        </w:rPr>
        <w:t>2．磋商及评审程序</w:t>
      </w:r>
      <w:bookmarkEnd w:id="281"/>
      <w:bookmarkEnd w:id="282"/>
      <w:bookmarkEnd w:id="283"/>
    </w:p>
    <w:p w14:paraId="6867E015">
      <w:pPr>
        <w:spacing w:line="360" w:lineRule="auto"/>
        <w:ind w:firstLine="424"/>
        <w:rPr>
          <w:rFonts w:ascii="宋体" w:hAnsi="宋体"/>
          <w:color w:val="000000"/>
          <w:sz w:val="24"/>
          <w:highlight w:val="none"/>
        </w:rPr>
      </w:pPr>
      <w:r>
        <w:rPr>
          <w:rFonts w:hint="eastAsia" w:ascii="宋体" w:hAnsi="宋体"/>
          <w:color w:val="000000"/>
          <w:sz w:val="24"/>
          <w:highlight w:val="none"/>
        </w:rPr>
        <w:t>2.1磋商组织方按磋商小组名单核对身份并签到。</w:t>
      </w:r>
    </w:p>
    <w:p w14:paraId="3CC346D5">
      <w:pPr>
        <w:spacing w:line="360" w:lineRule="auto"/>
        <w:ind w:firstLine="424"/>
        <w:rPr>
          <w:rFonts w:ascii="宋体" w:hAnsi="宋体"/>
          <w:color w:val="000000"/>
          <w:sz w:val="24"/>
          <w:highlight w:val="none"/>
        </w:rPr>
      </w:pPr>
      <w:r>
        <w:rPr>
          <w:rFonts w:hint="eastAsia" w:ascii="宋体" w:hAnsi="宋体"/>
          <w:color w:val="000000"/>
          <w:sz w:val="24"/>
          <w:highlight w:val="none"/>
        </w:rPr>
        <w:t>2.2磋商组织方宣布磋商及评审纪律，磋商小组确认有无回避的情形。</w:t>
      </w:r>
    </w:p>
    <w:p w14:paraId="3EFD75E5">
      <w:pPr>
        <w:spacing w:line="360" w:lineRule="auto"/>
        <w:ind w:firstLine="424"/>
        <w:rPr>
          <w:rFonts w:ascii="宋体" w:hAnsi="宋体"/>
          <w:color w:val="000000"/>
          <w:sz w:val="24"/>
          <w:highlight w:val="none"/>
        </w:rPr>
      </w:pPr>
      <w:r>
        <w:rPr>
          <w:rFonts w:hint="eastAsia" w:ascii="宋体" w:hAnsi="宋体"/>
          <w:color w:val="000000"/>
          <w:sz w:val="24"/>
          <w:highlight w:val="none"/>
        </w:rPr>
        <w:t>2.3磋商小组推选组长，负责组织磋商及评审活动，采购人代表不得担任组长。</w:t>
      </w:r>
    </w:p>
    <w:p w14:paraId="35F5D115">
      <w:pPr>
        <w:spacing w:line="360" w:lineRule="auto"/>
        <w:ind w:firstLine="424"/>
        <w:rPr>
          <w:rFonts w:ascii="宋体" w:hAnsi="宋体"/>
          <w:color w:val="000000"/>
          <w:sz w:val="24"/>
          <w:highlight w:val="none"/>
        </w:rPr>
      </w:pPr>
      <w:r>
        <w:rPr>
          <w:rFonts w:hint="eastAsia" w:ascii="宋体" w:hAnsi="宋体"/>
          <w:color w:val="000000"/>
          <w:sz w:val="24"/>
          <w:highlight w:val="none"/>
        </w:rPr>
        <w:t>2.4磋商小组正式评审前，应当对磋商文件进行熟悉和理解，审查磋商文件。</w:t>
      </w:r>
    </w:p>
    <w:p w14:paraId="07C673C6">
      <w:pPr>
        <w:spacing w:line="360" w:lineRule="auto"/>
        <w:ind w:firstLine="424"/>
        <w:rPr>
          <w:rFonts w:ascii="宋体" w:hAnsi="宋体"/>
          <w:color w:val="000000"/>
          <w:sz w:val="24"/>
          <w:highlight w:val="none"/>
        </w:rPr>
      </w:pPr>
      <w:r>
        <w:rPr>
          <w:rFonts w:hint="eastAsia" w:ascii="宋体" w:hAnsi="宋体"/>
          <w:color w:val="000000"/>
          <w:sz w:val="24"/>
          <w:highlight w:val="none"/>
        </w:rPr>
        <w:t>2.5磋商小组将对供应商进行资格审查，对首次响应文件进行有效性、完整性和响应程度审查。未通过审查的供应商不得参与磋商，磋商小组应书面告知供应商并说明理由。</w:t>
      </w:r>
    </w:p>
    <w:p w14:paraId="20EA9FA7">
      <w:pPr>
        <w:spacing w:line="360" w:lineRule="auto"/>
        <w:ind w:firstLine="424"/>
        <w:rPr>
          <w:rFonts w:ascii="宋体" w:hAnsi="宋体"/>
          <w:color w:val="000000"/>
          <w:sz w:val="24"/>
          <w:highlight w:val="none"/>
        </w:rPr>
      </w:pPr>
      <w:r>
        <w:rPr>
          <w:rFonts w:hint="eastAsia" w:ascii="宋体" w:hAnsi="宋体"/>
          <w:color w:val="000000"/>
          <w:sz w:val="24"/>
          <w:highlight w:val="none"/>
        </w:rPr>
        <w:t>2.6</w:t>
      </w:r>
      <w:r>
        <w:rPr>
          <w:rFonts w:ascii="宋体" w:hAnsi="宋体"/>
          <w:color w:val="00000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1142B617">
      <w:pPr>
        <w:pStyle w:val="4"/>
        <w:keepNext w:val="0"/>
        <w:keepLines w:val="0"/>
        <w:pageBreakBefore w:val="0"/>
        <w:spacing w:before="0" w:after="0" w:line="360" w:lineRule="auto"/>
        <w:ind w:firstLine="480"/>
        <w:rPr>
          <w:rFonts w:hint="eastAsia" w:ascii="宋体" w:hAnsi="宋体" w:cs="楷体"/>
          <w:b w:val="0"/>
          <w:color w:val="000000"/>
          <w:sz w:val="24"/>
          <w:szCs w:val="24"/>
          <w:highlight w:val="none"/>
          <w:lang w:val="en-US" w:eastAsia="zh-CN"/>
        </w:rPr>
      </w:pPr>
      <w:r>
        <w:rPr>
          <w:rFonts w:hint="eastAsia" w:ascii="宋体" w:hAnsi="宋体" w:eastAsia="宋体" w:cs="Times New Roman"/>
          <w:b w:val="0"/>
          <w:color w:val="000000"/>
          <w:sz w:val="24"/>
          <w:szCs w:val="22"/>
          <w:highlight w:val="none"/>
          <w:lang w:val="en-US" w:eastAsia="zh-CN" w:bidi="ar-SA"/>
        </w:rPr>
        <w:t>2.7根据《关</w:t>
      </w:r>
      <w:r>
        <w:rPr>
          <w:rFonts w:hint="eastAsia" w:ascii="宋体" w:hAnsi="宋体" w:cs="楷体"/>
          <w:b w:val="0"/>
          <w:color w:val="000000"/>
          <w:sz w:val="24"/>
          <w:szCs w:val="24"/>
          <w:highlight w:val="none"/>
          <w:lang w:val="en-US" w:eastAsia="zh-CN"/>
        </w:rPr>
        <w:t>于推动解决政府采购异常低价问题相关工作的通知》苏财购〔2025〕62号的要求，评审委员会应当启动异常低价投标（响应）审查程序的情形包括：</w:t>
      </w:r>
    </w:p>
    <w:p w14:paraId="7AC5AA33">
      <w:pPr>
        <w:pStyle w:val="4"/>
        <w:keepNext w:val="0"/>
        <w:keepLines w:val="0"/>
        <w:pageBreakBefore w:val="0"/>
        <w:spacing w:before="0" w:after="0" w:line="360" w:lineRule="auto"/>
        <w:ind w:firstLine="480"/>
        <w:rPr>
          <w:rFonts w:hint="eastAsia" w:ascii="宋体" w:hAnsi="宋体" w:cs="楷体"/>
          <w:b w:val="0"/>
          <w:color w:val="000000"/>
          <w:sz w:val="24"/>
          <w:szCs w:val="24"/>
          <w:highlight w:val="none"/>
          <w:lang w:val="en-US" w:eastAsia="zh-CN"/>
        </w:rPr>
      </w:pPr>
      <w:r>
        <w:rPr>
          <w:rFonts w:hint="eastAsia" w:ascii="宋体" w:hAnsi="宋体" w:cs="楷体"/>
          <w:b w:val="0"/>
          <w:color w:val="000000"/>
          <w:sz w:val="24"/>
          <w:szCs w:val="24"/>
          <w:highlight w:val="none"/>
          <w:lang w:val="en-US" w:eastAsia="zh-CN"/>
        </w:rPr>
        <w:t>1、投标（响应）报价低于采购项目预算 50% 的，即投标（响应）报价&lt;采购项目预算×50% ；</w:t>
      </w:r>
    </w:p>
    <w:p w14:paraId="7B910212">
      <w:pPr>
        <w:pStyle w:val="4"/>
        <w:keepNext w:val="0"/>
        <w:keepLines w:val="0"/>
        <w:pageBreakBefore w:val="0"/>
        <w:spacing w:before="0" w:after="0" w:line="360" w:lineRule="auto"/>
        <w:ind w:firstLine="480"/>
        <w:rPr>
          <w:rFonts w:hint="eastAsia" w:ascii="宋体" w:hAnsi="宋体" w:cs="楷体"/>
          <w:b w:val="0"/>
          <w:color w:val="000000"/>
          <w:sz w:val="24"/>
          <w:szCs w:val="24"/>
          <w:highlight w:val="none"/>
          <w:lang w:val="en-US" w:eastAsia="zh-CN"/>
        </w:rPr>
      </w:pPr>
      <w:r>
        <w:rPr>
          <w:rFonts w:hint="eastAsia" w:ascii="宋体" w:hAnsi="宋体" w:cs="楷体"/>
          <w:b w:val="0"/>
          <w:color w:val="000000"/>
          <w:sz w:val="24"/>
          <w:szCs w:val="24"/>
          <w:highlight w:val="none"/>
          <w:lang w:val="en-US" w:eastAsia="zh-CN"/>
        </w:rPr>
        <w:t>2、投标（响应）报价低于采购项目最高限价 45% 的，即投标（响应）报价&lt;采购项目最高限价×45% ；</w:t>
      </w:r>
    </w:p>
    <w:p w14:paraId="011AAFCA">
      <w:pPr>
        <w:pStyle w:val="4"/>
        <w:keepNext w:val="0"/>
        <w:keepLines w:val="0"/>
        <w:pageBreakBefore w:val="0"/>
        <w:spacing w:before="0" w:after="0" w:line="360" w:lineRule="auto"/>
        <w:ind w:firstLine="480"/>
        <w:rPr>
          <w:rFonts w:hint="eastAsia" w:ascii="宋体" w:hAnsi="宋体" w:cs="楷体"/>
          <w:b w:val="0"/>
          <w:color w:val="000000"/>
          <w:sz w:val="24"/>
          <w:szCs w:val="24"/>
          <w:highlight w:val="none"/>
          <w:lang w:val="en-US" w:eastAsia="zh-CN"/>
        </w:rPr>
      </w:pPr>
      <w:r>
        <w:rPr>
          <w:rFonts w:hint="eastAsia" w:ascii="宋体" w:hAnsi="宋体" w:cs="楷体"/>
          <w:b w:val="0"/>
          <w:color w:val="000000"/>
          <w:sz w:val="24"/>
          <w:szCs w:val="24"/>
          <w:highlight w:val="none"/>
          <w:lang w:val="en-US" w:eastAsia="zh-CN"/>
        </w:rPr>
        <w:t>3、评审委员会认定的供应商报价过低、有可能影响产品质量或者不能诚信履约的其他情形。</w:t>
      </w:r>
    </w:p>
    <w:p w14:paraId="7748D509">
      <w:pPr>
        <w:spacing w:line="360" w:lineRule="auto"/>
        <w:ind w:firstLine="424"/>
        <w:rPr>
          <w:rFonts w:ascii="宋体" w:hAnsi="宋体" w:eastAsia="宋体"/>
          <w:color w:val="000000"/>
          <w:sz w:val="24"/>
          <w:highlight w:val="none"/>
          <w:lang w:val="en-US" w:eastAsia="zh-CN"/>
        </w:rPr>
      </w:pPr>
      <w:r>
        <w:rPr>
          <w:rFonts w:hint="eastAsia" w:ascii="宋体" w:hAnsi="宋体" w:cs="楷体"/>
          <w:color w:val="000000"/>
          <w:sz w:val="24"/>
          <w:highlight w:val="none"/>
          <w:lang w:val="en-US" w:eastAsia="zh-CN"/>
        </w:rPr>
        <w:t>符合上述情形的相关供应商，</w:t>
      </w:r>
      <w:r>
        <w:rPr>
          <w:rFonts w:ascii="宋体" w:hAnsi="宋体"/>
          <w:color w:val="000000"/>
          <w:sz w:val="24"/>
          <w:highlight w:val="none"/>
        </w:rPr>
        <w:t>磋商小组</w:t>
      </w:r>
      <w:r>
        <w:rPr>
          <w:rFonts w:hint="eastAsia" w:ascii="宋体" w:hAnsi="宋体" w:cs="楷体"/>
          <w:color w:val="000000"/>
          <w:sz w:val="24"/>
          <w:highlight w:val="none"/>
          <w:lang w:val="en-US" w:eastAsia="zh-CN"/>
        </w:rPr>
        <w:t>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05ABE2DD">
      <w:pPr>
        <w:spacing w:line="360" w:lineRule="auto"/>
        <w:ind w:firstLine="424"/>
        <w:rPr>
          <w:rFonts w:ascii="宋体" w:hAnsi="宋体"/>
          <w:color w:val="000000"/>
          <w:sz w:val="24"/>
          <w:highlight w:val="none"/>
        </w:rPr>
      </w:pPr>
      <w:r>
        <w:rPr>
          <w:rFonts w:hint="eastAsia" w:ascii="宋体" w:hAnsi="宋体"/>
          <w:color w:val="000000"/>
          <w:sz w:val="24"/>
          <w:highlight w:val="none"/>
        </w:rPr>
        <w:t>2.</w:t>
      </w:r>
      <w:r>
        <w:rPr>
          <w:rFonts w:hint="eastAsia" w:ascii="宋体" w:hAnsi="宋体"/>
          <w:color w:val="000000"/>
          <w:sz w:val="24"/>
          <w:highlight w:val="none"/>
          <w:lang w:val="en-US" w:eastAsia="zh-CN"/>
        </w:rPr>
        <w:t>8</w:t>
      </w:r>
      <w:r>
        <w:rPr>
          <w:rFonts w:hint="eastAsia" w:ascii="宋体" w:hAnsi="宋体"/>
          <w:color w:val="000000"/>
          <w:sz w:val="24"/>
          <w:highlight w:val="none"/>
        </w:rPr>
        <w:t>磋商小组应集中与符合要求的单一供应商分别进行磋商，并给予所有参加磋商的供应商平等的磋商机会。</w:t>
      </w:r>
    </w:p>
    <w:p w14:paraId="0FAAE34B">
      <w:pPr>
        <w:spacing w:line="360" w:lineRule="auto"/>
        <w:ind w:firstLine="424"/>
        <w:rPr>
          <w:rFonts w:ascii="宋体" w:hAnsi="宋体"/>
          <w:color w:val="000000"/>
          <w:sz w:val="24"/>
          <w:highlight w:val="none"/>
        </w:rPr>
      </w:pPr>
      <w:r>
        <w:rPr>
          <w:rFonts w:hint="eastAsia" w:ascii="宋体" w:hAnsi="宋体"/>
          <w:color w:val="000000"/>
          <w:sz w:val="24"/>
          <w:highlight w:val="none"/>
        </w:rPr>
        <w:t>2.</w:t>
      </w:r>
      <w:r>
        <w:rPr>
          <w:rFonts w:hint="eastAsia" w:ascii="宋体" w:hAnsi="宋体"/>
          <w:color w:val="000000"/>
          <w:sz w:val="24"/>
          <w:highlight w:val="none"/>
          <w:lang w:val="en-US" w:eastAsia="zh-CN"/>
        </w:rPr>
        <w:t>9</w:t>
      </w:r>
      <w:r>
        <w:rPr>
          <w:rFonts w:hint="eastAsia" w:ascii="宋体" w:hAnsi="宋体"/>
          <w:color w:val="00000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4E7E714E">
      <w:pPr>
        <w:spacing w:line="360" w:lineRule="auto"/>
        <w:ind w:firstLine="424"/>
        <w:rPr>
          <w:rFonts w:ascii="宋体" w:hAnsi="宋体"/>
          <w:color w:val="000000"/>
          <w:highlight w:val="none"/>
        </w:rPr>
      </w:pPr>
      <w:r>
        <w:rPr>
          <w:rFonts w:hint="eastAsia" w:ascii="宋体" w:hAnsi="宋体"/>
          <w:color w:val="000000"/>
          <w:sz w:val="24"/>
          <w:highlight w:val="none"/>
        </w:rPr>
        <w:t>2.</w:t>
      </w:r>
      <w:r>
        <w:rPr>
          <w:rFonts w:hint="eastAsia" w:ascii="宋体" w:hAnsi="宋体"/>
          <w:color w:val="000000"/>
          <w:sz w:val="24"/>
          <w:highlight w:val="none"/>
          <w:lang w:val="en-US" w:eastAsia="zh-CN"/>
        </w:rPr>
        <w:t>10</w:t>
      </w:r>
      <w:r>
        <w:rPr>
          <w:rFonts w:hint="eastAsia" w:ascii="宋体" w:hAnsi="宋体"/>
          <w:color w:val="000000"/>
          <w:sz w:val="24"/>
          <w:highlight w:val="none"/>
        </w:rPr>
        <w:t>磋商文件能够详细列明采购标的的技术、服务要求的，磋商结束后，磋商小组应要求所有实质性响应的供应商在规定时间内提交最后报价。</w:t>
      </w:r>
    </w:p>
    <w:p w14:paraId="49BB9533">
      <w:pPr>
        <w:spacing w:line="360" w:lineRule="auto"/>
        <w:ind w:firstLine="424"/>
        <w:rPr>
          <w:rFonts w:ascii="宋体" w:hAnsi="宋体"/>
          <w:color w:val="000000"/>
          <w:sz w:val="24"/>
          <w:highlight w:val="none"/>
        </w:rPr>
      </w:pPr>
      <w:r>
        <w:rPr>
          <w:rFonts w:hint="eastAsia" w:ascii="宋体" w:hAnsi="宋体"/>
          <w:color w:val="000000"/>
          <w:sz w:val="24"/>
          <w:highlight w:val="non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37625DFE">
      <w:pPr>
        <w:spacing w:line="360" w:lineRule="auto"/>
        <w:ind w:firstLine="424"/>
        <w:rPr>
          <w:rFonts w:ascii="宋体" w:hAnsi="宋体"/>
          <w:color w:val="000000"/>
          <w:sz w:val="24"/>
          <w:highlight w:val="none"/>
        </w:rPr>
      </w:pPr>
      <w:r>
        <w:rPr>
          <w:rFonts w:hint="eastAsia" w:ascii="宋体" w:hAnsi="宋体"/>
          <w:color w:val="000000"/>
          <w:sz w:val="24"/>
          <w:highlight w:val="none"/>
        </w:rPr>
        <w:t>符合磋商</w:t>
      </w:r>
      <w:r>
        <w:rPr>
          <w:rFonts w:ascii="宋体" w:hAnsi="宋体"/>
          <w:color w:val="000000"/>
          <w:sz w:val="24"/>
          <w:highlight w:val="none"/>
        </w:rPr>
        <w:t>文件供应商须知</w:t>
      </w:r>
      <w:r>
        <w:rPr>
          <w:rFonts w:hint="eastAsia" w:ascii="宋体" w:hAnsi="宋体"/>
          <w:color w:val="000000"/>
          <w:sz w:val="24"/>
          <w:highlight w:val="none"/>
        </w:rPr>
        <w:t>规定情形的，提交最后报价的供应商可以为</w:t>
      </w:r>
      <w:r>
        <w:rPr>
          <w:rFonts w:ascii="宋体" w:hAnsi="宋体"/>
          <w:color w:val="000000"/>
          <w:sz w:val="24"/>
          <w:highlight w:val="none"/>
        </w:rPr>
        <w:t>2</w:t>
      </w:r>
      <w:r>
        <w:rPr>
          <w:rFonts w:hint="eastAsia" w:ascii="宋体" w:hAnsi="宋体"/>
          <w:color w:val="000000"/>
          <w:sz w:val="24"/>
          <w:highlight w:val="none"/>
        </w:rPr>
        <w:t>家。</w:t>
      </w:r>
    </w:p>
    <w:p w14:paraId="77E6DA96">
      <w:pPr>
        <w:widowControl/>
        <w:spacing w:line="360" w:lineRule="auto"/>
        <w:ind w:firstLine="424"/>
        <w:jc w:val="left"/>
        <w:rPr>
          <w:rFonts w:ascii="宋体" w:hAnsi="宋体"/>
          <w:color w:val="000000"/>
          <w:sz w:val="24"/>
          <w:highlight w:val="none"/>
        </w:rPr>
      </w:pPr>
      <w:r>
        <w:rPr>
          <w:rFonts w:hint="eastAsia" w:ascii="宋体" w:hAnsi="宋体"/>
          <w:color w:val="000000"/>
          <w:sz w:val="24"/>
          <w:highlight w:val="none"/>
        </w:rPr>
        <w:t>2.1</w:t>
      </w:r>
      <w:r>
        <w:rPr>
          <w:rFonts w:hint="eastAsia" w:ascii="宋体" w:hAnsi="宋体"/>
          <w:color w:val="000000"/>
          <w:sz w:val="24"/>
          <w:highlight w:val="none"/>
          <w:lang w:val="en-US" w:eastAsia="zh-CN"/>
        </w:rPr>
        <w:t>1</w:t>
      </w:r>
      <w:r>
        <w:rPr>
          <w:rFonts w:hint="eastAsia" w:ascii="宋体" w:hAnsi="宋体"/>
          <w:color w:val="000000"/>
          <w:sz w:val="24"/>
          <w:highlight w:val="none"/>
        </w:rPr>
        <w:t>经磋商确定最终采购需求和提交最后报价的供应商后，磋商小组应对提交最后报价的供应商的响应文件和最后报价进行评审。</w:t>
      </w:r>
    </w:p>
    <w:p w14:paraId="145F5CFE">
      <w:pPr>
        <w:spacing w:line="360" w:lineRule="auto"/>
        <w:ind w:firstLine="424"/>
        <w:rPr>
          <w:rFonts w:ascii="宋体" w:hAnsi="宋体"/>
          <w:color w:val="000000"/>
          <w:sz w:val="24"/>
          <w:highlight w:val="none"/>
        </w:rPr>
      </w:pPr>
      <w:r>
        <w:rPr>
          <w:rFonts w:hint="eastAsia" w:ascii="宋体" w:hAnsi="宋体"/>
          <w:color w:val="000000"/>
          <w:sz w:val="24"/>
          <w:highlight w:val="none"/>
        </w:rPr>
        <w:t>2.1</w:t>
      </w:r>
      <w:r>
        <w:rPr>
          <w:rFonts w:hint="eastAsia" w:ascii="宋体" w:hAnsi="宋体"/>
          <w:color w:val="000000"/>
          <w:sz w:val="24"/>
          <w:highlight w:val="none"/>
          <w:lang w:val="en-US" w:eastAsia="zh-CN"/>
        </w:rPr>
        <w:t>2</w:t>
      </w:r>
      <w:r>
        <w:rPr>
          <w:rFonts w:hint="eastAsia" w:ascii="宋体" w:hAnsi="宋体"/>
          <w:color w:val="000000"/>
          <w:sz w:val="24"/>
          <w:highlight w:val="none"/>
        </w:rPr>
        <w:t>磋商小组对磋商供应商得分按照从高到低进行排序，得分相同的磋商供应商，报价低者排名在前，评审得分且最后报价相同的，按技术指标优劣顺序排列。</w:t>
      </w:r>
    </w:p>
    <w:p w14:paraId="479FFE04">
      <w:pPr>
        <w:spacing w:line="360" w:lineRule="auto"/>
        <w:ind w:firstLine="424"/>
        <w:rPr>
          <w:rFonts w:ascii="宋体" w:hAnsi="宋体"/>
          <w:color w:val="000000"/>
          <w:sz w:val="24"/>
          <w:highlight w:val="none"/>
        </w:rPr>
      </w:pPr>
      <w:r>
        <w:rPr>
          <w:rFonts w:hint="eastAsia" w:ascii="宋体" w:hAnsi="宋体"/>
          <w:color w:val="000000"/>
          <w:sz w:val="24"/>
          <w:highlight w:val="none"/>
        </w:rPr>
        <w:t>2.1</w:t>
      </w:r>
      <w:r>
        <w:rPr>
          <w:rFonts w:hint="eastAsia" w:ascii="宋体" w:hAnsi="宋体"/>
          <w:color w:val="000000"/>
          <w:sz w:val="24"/>
          <w:highlight w:val="none"/>
          <w:lang w:val="en-US" w:eastAsia="zh-CN"/>
        </w:rPr>
        <w:t>3</w:t>
      </w:r>
      <w:r>
        <w:rPr>
          <w:rFonts w:hint="eastAsia" w:ascii="宋体" w:hAnsi="宋体"/>
          <w:color w:val="000000"/>
          <w:sz w:val="24"/>
          <w:highlight w:val="none"/>
        </w:rPr>
        <w:t>推荐成交候选供应商，并出具书面评审报告。</w:t>
      </w:r>
    </w:p>
    <w:p w14:paraId="0516CC4C">
      <w:pPr>
        <w:pStyle w:val="188"/>
        <w:spacing w:line="400" w:lineRule="exact"/>
        <w:ind w:firstLine="321"/>
        <w:jc w:val="left"/>
        <w:rPr>
          <w:rFonts w:hint="eastAsia" w:ascii="宋体" w:hAnsi="宋体" w:eastAsia="宋体"/>
          <w:color w:val="000000"/>
          <w:sz w:val="32"/>
          <w:highlight w:val="none"/>
        </w:rPr>
      </w:pPr>
      <w:bookmarkStart w:id="284" w:name="_Toc73365516"/>
      <w:bookmarkStart w:id="285" w:name="_Toc73364903"/>
      <w:bookmarkStart w:id="286" w:name="_Toc14570"/>
      <w:r>
        <w:rPr>
          <w:rFonts w:hint="eastAsia" w:ascii="宋体" w:hAnsi="宋体" w:eastAsia="宋体"/>
          <w:color w:val="000000"/>
          <w:sz w:val="32"/>
          <w:highlight w:val="none"/>
        </w:rPr>
        <w:t>3．供应商资格审查</w:t>
      </w:r>
      <w:bookmarkEnd w:id="284"/>
      <w:bookmarkEnd w:id="285"/>
      <w:bookmarkEnd w:id="286"/>
    </w:p>
    <w:p w14:paraId="6949008D">
      <w:pPr>
        <w:rPr>
          <w:highlight w:val="none"/>
        </w:rPr>
      </w:pPr>
      <w:bookmarkStart w:id="287" w:name="EB62b7e4128ed04384afeeab46ecea92c3"/>
      <w:r>
        <w:rPr>
          <w:rFonts w:hint="eastAsia"/>
          <w:color w:val="000080"/>
          <w:sz w:val="20"/>
          <w:highlight w:val="none"/>
        </w:rPr>
        <w:t xml:space="preserve"> </w:t>
      </w:r>
      <w:bookmarkEnd w:id="287"/>
    </w:p>
    <w:p w14:paraId="771EFDDC">
      <w:pPr>
        <w:spacing w:line="360" w:lineRule="auto"/>
        <w:ind w:firstLine="480"/>
        <w:rPr>
          <w:rFonts w:hint="eastAsia" w:ascii="宋体" w:hAnsi="宋体"/>
          <w:color w:val="000000"/>
          <w:sz w:val="24"/>
          <w:szCs w:val="28"/>
          <w:highlight w:val="none"/>
        </w:rPr>
      </w:pPr>
      <w:bookmarkStart w:id="288" w:name="EBca25f1f2e9864ca3b0b8f62aaa9a4dc1"/>
      <w:r>
        <w:rPr>
          <w:rFonts w:hint="eastAsia" w:ascii="宋体" w:hAnsi="宋体"/>
          <w:color w:val="0000FF"/>
          <w:sz w:val="24"/>
          <w:szCs w:val="28"/>
          <w:highlight w:val="none"/>
        </w:rPr>
        <w:t>☑</w:t>
      </w:r>
      <w:bookmarkEnd w:id="288"/>
      <w:bookmarkStart w:id="289" w:name="EB681b9d9dbd034aaca383871dc8abcc3d"/>
      <w:r>
        <w:rPr>
          <w:rFonts w:hint="eastAsia" w:ascii="宋体" w:hAnsi="宋体"/>
          <w:color w:val="0000FF"/>
          <w:sz w:val="24"/>
          <w:szCs w:val="28"/>
          <w:highlight w:val="none"/>
        </w:rPr>
        <w:t>发布公告</w:t>
      </w:r>
      <w:bookmarkEnd w:id="289"/>
      <w:r>
        <w:rPr>
          <w:rFonts w:hint="eastAsia" w:ascii="宋体" w:hAnsi="宋体"/>
          <w:color w:val="000000"/>
          <w:sz w:val="24"/>
          <w:szCs w:val="28"/>
          <w:highlight w:val="none"/>
        </w:rPr>
        <w:t xml:space="preserve">  </w:t>
      </w:r>
    </w:p>
    <w:p w14:paraId="4EDEDC28">
      <w:pPr>
        <w:rPr>
          <w:highlight w:val="none"/>
        </w:rPr>
      </w:pPr>
      <w:bookmarkStart w:id="290" w:name="EB6e2c03ff6cc84431af3753310a9fb4a4"/>
      <w:r>
        <w:rPr>
          <w:rFonts w:hint="eastAsia"/>
          <w:color w:val="000080"/>
          <w:sz w:val="20"/>
          <w:highlight w:val="none"/>
        </w:rPr>
        <w:t xml:space="preserve"> </w:t>
      </w:r>
      <w:bookmarkEnd w:id="290"/>
    </w:p>
    <w:p w14:paraId="5777E287">
      <w:pPr>
        <w:widowControl/>
        <w:spacing w:line="360" w:lineRule="auto"/>
        <w:ind w:firstLine="480"/>
        <w:rPr>
          <w:rFonts w:hint="eastAsia" w:ascii="宋体" w:hAnsi="宋体"/>
          <w:color w:val="000000"/>
          <w:sz w:val="24"/>
          <w:highlight w:val="none"/>
        </w:rPr>
      </w:pPr>
      <w:r>
        <w:rPr>
          <w:rFonts w:hint="eastAsia" w:ascii="宋体" w:hAnsi="宋体"/>
          <w:color w:val="000000"/>
          <w:sz w:val="24"/>
          <w:highlight w:val="none"/>
        </w:rPr>
        <w:t>开启结束后，采购人将依法对供应商的资格进行审查。资格审查的内容如下：</w:t>
      </w:r>
    </w:p>
    <w:p w14:paraId="357A8136">
      <w:pPr>
        <w:rPr>
          <w:rFonts w:hint="eastAsia"/>
          <w:color w:val="000080"/>
          <w:sz w:val="20"/>
          <w:highlight w:val="none"/>
        </w:rPr>
      </w:pPr>
      <w:bookmarkStart w:id="291" w:name="EB26dcd70bebb54979b7a4b621de125d2f"/>
    </w:p>
    <w:tbl>
      <w:tblPr>
        <w:tblStyle w:val="33"/>
        <w:tblW w:w="4942" w:type="pct"/>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600"/>
        <w:gridCol w:w="1532"/>
        <w:gridCol w:w="7339"/>
      </w:tblGrid>
      <w:tr w14:paraId="5304A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0" w:type="dxa"/>
            <w:noWrap w:val="0"/>
            <w:tcMar>
              <w:top w:w="100" w:type="dxa"/>
              <w:bottom w:w="100" w:type="dxa"/>
            </w:tcMar>
            <w:vAlign w:val="center"/>
          </w:tcPr>
          <w:p w14:paraId="42D48F84">
            <w:pPr>
              <w:pStyle w:val="263"/>
              <w:jc w:val="center"/>
              <w:rPr>
                <w:rFonts w:ascii="宋体" w:hAnsi="宋体" w:eastAsia="宋体" w:cs="宋体"/>
                <w:sz w:val="21"/>
                <w:highlight w:val="none"/>
              </w:rPr>
            </w:pPr>
            <w:r>
              <w:rPr>
                <w:rFonts w:ascii="宋体" w:hAnsi="宋体" w:eastAsia="宋体" w:cs="宋体"/>
                <w:sz w:val="21"/>
                <w:highlight w:val="none"/>
              </w:rPr>
              <w:t>序号</w:t>
            </w:r>
          </w:p>
        </w:tc>
        <w:tc>
          <w:tcPr>
            <w:tcW w:w="1532" w:type="dxa"/>
            <w:noWrap w:val="0"/>
            <w:tcMar>
              <w:top w:w="100" w:type="dxa"/>
              <w:bottom w:w="100" w:type="dxa"/>
            </w:tcMar>
            <w:vAlign w:val="center"/>
          </w:tcPr>
          <w:p w14:paraId="7CA88698">
            <w:pPr>
              <w:pStyle w:val="263"/>
              <w:jc w:val="center"/>
              <w:rPr>
                <w:rFonts w:ascii="宋体" w:hAnsi="宋体" w:eastAsia="宋体" w:cs="宋体"/>
                <w:sz w:val="21"/>
                <w:highlight w:val="none"/>
              </w:rPr>
            </w:pPr>
            <w:r>
              <w:rPr>
                <w:rFonts w:ascii="宋体" w:hAnsi="宋体" w:eastAsia="宋体" w:cs="宋体"/>
                <w:sz w:val="21"/>
                <w:highlight w:val="none"/>
              </w:rPr>
              <w:t>审查要素</w:t>
            </w:r>
          </w:p>
        </w:tc>
        <w:tc>
          <w:tcPr>
            <w:tcW w:w="7339" w:type="dxa"/>
            <w:noWrap w:val="0"/>
            <w:tcMar>
              <w:top w:w="100" w:type="dxa"/>
              <w:bottom w:w="100" w:type="dxa"/>
            </w:tcMar>
            <w:vAlign w:val="center"/>
          </w:tcPr>
          <w:p w14:paraId="69F538D7">
            <w:pPr>
              <w:pStyle w:val="263"/>
              <w:jc w:val="center"/>
              <w:rPr>
                <w:rFonts w:ascii="宋体" w:hAnsi="宋体" w:eastAsia="宋体" w:cs="宋体"/>
                <w:sz w:val="21"/>
                <w:highlight w:val="none"/>
              </w:rPr>
            </w:pPr>
            <w:r>
              <w:rPr>
                <w:rFonts w:ascii="宋体" w:hAnsi="宋体" w:eastAsia="宋体" w:cs="宋体"/>
                <w:sz w:val="21"/>
                <w:highlight w:val="none"/>
              </w:rPr>
              <w:t>审查内容</w:t>
            </w:r>
          </w:p>
        </w:tc>
      </w:tr>
      <w:tr w14:paraId="004DB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0" w:type="dxa"/>
            <w:noWrap w:val="0"/>
            <w:tcMar>
              <w:top w:w="100" w:type="dxa"/>
              <w:bottom w:w="100" w:type="dxa"/>
            </w:tcMar>
            <w:vAlign w:val="center"/>
          </w:tcPr>
          <w:p w14:paraId="11037DE1">
            <w:pPr>
              <w:pStyle w:val="263"/>
              <w:jc w:val="center"/>
              <w:rPr>
                <w:rFonts w:ascii="宋体" w:hAnsi="宋体" w:eastAsia="宋体" w:cs="宋体"/>
                <w:sz w:val="21"/>
                <w:highlight w:val="none"/>
              </w:rPr>
            </w:pPr>
            <w:r>
              <w:rPr>
                <w:rFonts w:ascii="宋体" w:hAnsi="宋体" w:eastAsia="宋体" w:cs="宋体"/>
                <w:sz w:val="21"/>
                <w:highlight w:val="none"/>
              </w:rPr>
              <w:t>1</w:t>
            </w:r>
          </w:p>
        </w:tc>
        <w:tc>
          <w:tcPr>
            <w:tcW w:w="1532" w:type="dxa"/>
            <w:noWrap w:val="0"/>
            <w:tcMar>
              <w:top w:w="100" w:type="dxa"/>
              <w:bottom w:w="100" w:type="dxa"/>
            </w:tcMar>
            <w:vAlign w:val="center"/>
          </w:tcPr>
          <w:p w14:paraId="70126C2C">
            <w:pPr>
              <w:pStyle w:val="263"/>
              <w:jc w:val="center"/>
              <w:rPr>
                <w:rFonts w:ascii="宋体" w:hAnsi="宋体" w:eastAsia="宋体" w:cs="宋体"/>
                <w:sz w:val="21"/>
                <w:highlight w:val="none"/>
              </w:rPr>
            </w:pPr>
            <w:bookmarkStart w:id="292" w:name="OLE_LINK4"/>
            <w:r>
              <w:rPr>
                <w:rFonts w:ascii="宋体" w:hAnsi="宋体" w:eastAsia="宋体" w:cs="宋体"/>
                <w:sz w:val="21"/>
                <w:highlight w:val="none"/>
              </w:rPr>
              <w:t>具有独立承担民事责任的能力</w:t>
            </w:r>
            <w:bookmarkEnd w:id="292"/>
          </w:p>
        </w:tc>
        <w:tc>
          <w:tcPr>
            <w:tcW w:w="7339" w:type="dxa"/>
            <w:noWrap w:val="0"/>
            <w:tcMar>
              <w:top w:w="100" w:type="dxa"/>
              <w:bottom w:w="100" w:type="dxa"/>
            </w:tcMar>
            <w:vAlign w:val="center"/>
          </w:tcPr>
          <w:p w14:paraId="4B94CBF3">
            <w:pPr>
              <w:pStyle w:val="263"/>
              <w:jc w:val="center"/>
              <w:rPr>
                <w:rFonts w:ascii="宋体" w:hAnsi="宋体" w:eastAsia="宋体" w:cs="宋体"/>
                <w:sz w:val="21"/>
                <w:highlight w:val="none"/>
              </w:rPr>
            </w:pPr>
            <w:r>
              <w:rPr>
                <w:rFonts w:ascii="宋体" w:hAnsi="宋体" w:eastAsia="宋体" w:cs="宋体"/>
                <w:sz w:val="21"/>
                <w:highlight w:val="none"/>
              </w:rPr>
              <w:t>提供法人或者其他组织的营业执照等证明文件(原件扫描件)；供应商为自然人的，提供其身份证(原件扫描件) 。</w:t>
            </w:r>
          </w:p>
        </w:tc>
      </w:tr>
      <w:tr w14:paraId="6ECE0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0" w:type="dxa"/>
            <w:noWrap w:val="0"/>
            <w:tcMar>
              <w:top w:w="100" w:type="dxa"/>
              <w:bottom w:w="100" w:type="dxa"/>
            </w:tcMar>
            <w:vAlign w:val="center"/>
          </w:tcPr>
          <w:p w14:paraId="643BB27C">
            <w:pPr>
              <w:pStyle w:val="263"/>
              <w:jc w:val="center"/>
              <w:rPr>
                <w:rFonts w:ascii="宋体" w:hAnsi="宋体" w:eastAsia="宋体" w:cs="宋体"/>
                <w:sz w:val="21"/>
                <w:highlight w:val="none"/>
              </w:rPr>
            </w:pPr>
            <w:r>
              <w:rPr>
                <w:rFonts w:ascii="宋体" w:hAnsi="宋体" w:eastAsia="宋体" w:cs="宋体"/>
                <w:sz w:val="21"/>
                <w:highlight w:val="none"/>
              </w:rPr>
              <w:t>2</w:t>
            </w:r>
          </w:p>
        </w:tc>
        <w:tc>
          <w:tcPr>
            <w:tcW w:w="1532" w:type="dxa"/>
            <w:noWrap w:val="0"/>
            <w:tcMar>
              <w:top w:w="100" w:type="dxa"/>
              <w:bottom w:w="100" w:type="dxa"/>
            </w:tcMar>
            <w:vAlign w:val="center"/>
          </w:tcPr>
          <w:p w14:paraId="3C6DB380">
            <w:pPr>
              <w:pStyle w:val="263"/>
              <w:jc w:val="center"/>
              <w:rPr>
                <w:rFonts w:ascii="宋体" w:hAnsi="宋体" w:eastAsia="宋体" w:cs="宋体"/>
                <w:sz w:val="21"/>
                <w:highlight w:val="none"/>
              </w:rPr>
            </w:pPr>
            <w:r>
              <w:rPr>
                <w:rFonts w:ascii="宋体" w:hAnsi="宋体" w:eastAsia="宋体" w:cs="宋体"/>
                <w:sz w:val="21"/>
                <w:highlight w:val="none"/>
              </w:rPr>
              <w:t>具有良好的商业信誉和健全的财务会计制度</w:t>
            </w:r>
          </w:p>
        </w:tc>
        <w:tc>
          <w:tcPr>
            <w:tcW w:w="7339" w:type="dxa"/>
            <w:noWrap w:val="0"/>
            <w:tcMar>
              <w:top w:w="100" w:type="dxa"/>
              <w:bottom w:w="100" w:type="dxa"/>
            </w:tcMar>
            <w:vAlign w:val="center"/>
          </w:tcPr>
          <w:p w14:paraId="3A2CF6DA">
            <w:pPr>
              <w:pStyle w:val="263"/>
              <w:jc w:val="center"/>
              <w:rPr>
                <w:rFonts w:ascii="宋体" w:hAnsi="宋体" w:eastAsia="宋体" w:cs="宋体"/>
                <w:sz w:val="21"/>
                <w:highlight w:val="none"/>
              </w:rPr>
            </w:pPr>
            <w:r>
              <w:rPr>
                <w:rFonts w:ascii="宋体" w:hAnsi="宋体" w:eastAsia="宋体" w:cs="宋体"/>
                <w:sz w:val="21"/>
                <w:highlight w:val="none"/>
              </w:rPr>
              <w:t>提供上一年度</w:t>
            </w:r>
            <w:bookmarkStart w:id="293" w:name="_Hlk138167580"/>
            <w:r>
              <w:rPr>
                <w:rFonts w:ascii="宋体" w:hAnsi="宋体" w:eastAsia="宋体" w:cs="宋体"/>
                <w:sz w:val="21"/>
                <w:highlight w:val="none"/>
              </w:rPr>
              <w:t>财务报告</w:t>
            </w:r>
            <w:bookmarkEnd w:id="293"/>
            <w:r>
              <w:rPr>
                <w:rFonts w:hint="eastAsia" w:ascii="宋体" w:hAnsi="宋体" w:eastAsia="宋体" w:cs="宋体"/>
                <w:sz w:val="21"/>
                <w:highlight w:val="none"/>
                <w:lang w:eastAsia="zh-CN"/>
              </w:rPr>
              <w:t>、</w:t>
            </w:r>
            <w:r>
              <w:rPr>
                <w:rFonts w:hint="eastAsia" w:ascii="宋体" w:hAnsi="宋体" w:eastAsia="宋体" w:cs="宋体"/>
                <w:sz w:val="21"/>
                <w:highlight w:val="none"/>
              </w:rPr>
              <w:t>成立不满一年的提供至少一个月财务报告，或银行出具的资信证明，或财政部门认可的政府采购专业担保机构出具的投标担保函等</w:t>
            </w:r>
            <w:r>
              <w:rPr>
                <w:rFonts w:hint="eastAsia" w:ascii="宋体" w:hAnsi="宋体" w:eastAsia="宋体" w:cs="宋体"/>
                <w:sz w:val="21"/>
                <w:highlight w:val="none"/>
                <w:lang w:eastAsia="zh-CN"/>
              </w:rPr>
              <w:t>原件扫描件</w:t>
            </w:r>
            <w:r>
              <w:rPr>
                <w:rFonts w:hint="eastAsia" w:ascii="宋体" w:hAnsi="宋体" w:eastAsia="宋体" w:cs="宋体"/>
                <w:sz w:val="21"/>
                <w:highlight w:val="none"/>
              </w:rPr>
              <w:t>或资格承诺函</w:t>
            </w:r>
            <w:r>
              <w:rPr>
                <w:rFonts w:hint="eastAsia" w:ascii="宋体" w:hAnsi="宋体" w:eastAsia="宋体" w:cs="宋体"/>
                <w:sz w:val="21"/>
                <w:highlight w:val="none"/>
                <w:lang w:val="en-US" w:eastAsia="zh-CN"/>
              </w:rPr>
              <w:t>原件扫描件</w:t>
            </w:r>
            <w:r>
              <w:rPr>
                <w:rFonts w:hint="eastAsia" w:ascii="宋体" w:hAnsi="宋体" w:eastAsia="宋体" w:cs="宋体"/>
                <w:sz w:val="21"/>
                <w:highlight w:val="none"/>
              </w:rPr>
              <w:t>。</w:t>
            </w:r>
          </w:p>
        </w:tc>
      </w:tr>
      <w:tr w14:paraId="74D13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0" w:type="dxa"/>
            <w:noWrap w:val="0"/>
            <w:tcMar>
              <w:top w:w="100" w:type="dxa"/>
              <w:bottom w:w="100" w:type="dxa"/>
            </w:tcMar>
            <w:vAlign w:val="center"/>
          </w:tcPr>
          <w:p w14:paraId="337103E1">
            <w:pPr>
              <w:pStyle w:val="263"/>
              <w:jc w:val="center"/>
              <w:rPr>
                <w:rFonts w:ascii="宋体" w:hAnsi="宋体" w:eastAsia="宋体" w:cs="宋体"/>
                <w:sz w:val="21"/>
                <w:highlight w:val="none"/>
              </w:rPr>
            </w:pPr>
            <w:r>
              <w:rPr>
                <w:rFonts w:ascii="宋体" w:hAnsi="宋体" w:eastAsia="宋体" w:cs="宋体"/>
                <w:sz w:val="21"/>
                <w:highlight w:val="none"/>
              </w:rPr>
              <w:t>3</w:t>
            </w:r>
          </w:p>
        </w:tc>
        <w:tc>
          <w:tcPr>
            <w:tcW w:w="1532" w:type="dxa"/>
            <w:noWrap w:val="0"/>
            <w:tcMar>
              <w:top w:w="100" w:type="dxa"/>
              <w:bottom w:w="100" w:type="dxa"/>
            </w:tcMar>
            <w:vAlign w:val="center"/>
          </w:tcPr>
          <w:p w14:paraId="6E36A4C8">
            <w:pPr>
              <w:pStyle w:val="263"/>
              <w:jc w:val="center"/>
              <w:rPr>
                <w:rFonts w:ascii="宋体" w:hAnsi="宋体" w:eastAsia="宋体" w:cs="宋体"/>
                <w:sz w:val="21"/>
                <w:highlight w:val="none"/>
              </w:rPr>
            </w:pPr>
            <w:r>
              <w:rPr>
                <w:rFonts w:ascii="宋体" w:hAnsi="宋体" w:eastAsia="宋体" w:cs="宋体"/>
                <w:sz w:val="21"/>
                <w:highlight w:val="none"/>
              </w:rPr>
              <w:t>具有履行合同所必需的设备和专业技术能力</w:t>
            </w:r>
          </w:p>
        </w:tc>
        <w:tc>
          <w:tcPr>
            <w:tcW w:w="7339" w:type="dxa"/>
            <w:noWrap w:val="0"/>
            <w:tcMar>
              <w:top w:w="100" w:type="dxa"/>
              <w:bottom w:w="100" w:type="dxa"/>
            </w:tcMar>
            <w:vAlign w:val="center"/>
          </w:tcPr>
          <w:p w14:paraId="1CB66A45">
            <w:pPr>
              <w:pStyle w:val="263"/>
              <w:jc w:val="center"/>
              <w:rPr>
                <w:rFonts w:ascii="宋体" w:hAnsi="宋体" w:eastAsia="宋体" w:cs="宋体"/>
                <w:sz w:val="21"/>
                <w:highlight w:val="none"/>
              </w:rPr>
            </w:pPr>
            <w:r>
              <w:rPr>
                <w:rFonts w:hint="eastAsia" w:ascii="宋体" w:hAnsi="宋体" w:eastAsia="宋体" w:cs="宋体"/>
                <w:sz w:val="21"/>
                <w:highlight w:val="none"/>
                <w:lang w:eastAsia="zh-CN"/>
              </w:rPr>
              <w:t>见</w:t>
            </w:r>
            <w:r>
              <w:rPr>
                <w:rFonts w:ascii="宋体" w:hAnsi="宋体" w:eastAsia="宋体" w:cs="宋体"/>
                <w:sz w:val="21"/>
                <w:highlight w:val="none"/>
              </w:rPr>
              <w:t>供应商相关信息一览表</w:t>
            </w:r>
            <w:r>
              <w:rPr>
                <w:rFonts w:hint="eastAsia" w:ascii="宋体" w:hAnsi="宋体" w:eastAsia="宋体" w:cs="宋体"/>
                <w:sz w:val="21"/>
                <w:highlight w:val="none"/>
                <w:lang w:eastAsia="zh-CN"/>
              </w:rPr>
              <w:t>或提供资格承诺函</w:t>
            </w:r>
            <w:r>
              <w:rPr>
                <w:rFonts w:hint="eastAsia" w:ascii="宋体" w:hAnsi="宋体" w:eastAsia="宋体" w:cs="宋体"/>
                <w:sz w:val="21"/>
                <w:highlight w:val="none"/>
                <w:lang w:val="en-US" w:eastAsia="zh-CN"/>
              </w:rPr>
              <w:t>原件扫描件</w:t>
            </w:r>
            <w:r>
              <w:rPr>
                <w:rFonts w:ascii="宋体" w:hAnsi="宋体" w:eastAsia="宋体" w:cs="宋体"/>
                <w:sz w:val="21"/>
                <w:highlight w:val="none"/>
              </w:rPr>
              <w:t>。</w:t>
            </w:r>
          </w:p>
        </w:tc>
      </w:tr>
      <w:tr w14:paraId="50094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0" w:type="dxa"/>
            <w:noWrap w:val="0"/>
            <w:tcMar>
              <w:top w:w="100" w:type="dxa"/>
              <w:bottom w:w="100" w:type="dxa"/>
            </w:tcMar>
            <w:vAlign w:val="center"/>
          </w:tcPr>
          <w:p w14:paraId="0FF6421D">
            <w:pPr>
              <w:pStyle w:val="263"/>
              <w:jc w:val="center"/>
              <w:rPr>
                <w:rFonts w:ascii="宋体" w:hAnsi="宋体" w:eastAsia="宋体" w:cs="宋体"/>
                <w:sz w:val="21"/>
                <w:highlight w:val="none"/>
              </w:rPr>
            </w:pPr>
            <w:r>
              <w:rPr>
                <w:rFonts w:ascii="宋体" w:hAnsi="宋体" w:eastAsia="宋体" w:cs="宋体"/>
                <w:sz w:val="21"/>
                <w:highlight w:val="none"/>
              </w:rPr>
              <w:t>4</w:t>
            </w:r>
          </w:p>
        </w:tc>
        <w:tc>
          <w:tcPr>
            <w:tcW w:w="1532" w:type="dxa"/>
            <w:noWrap w:val="0"/>
            <w:tcMar>
              <w:top w:w="100" w:type="dxa"/>
              <w:bottom w:w="100" w:type="dxa"/>
            </w:tcMar>
            <w:vAlign w:val="center"/>
          </w:tcPr>
          <w:p w14:paraId="254D9931">
            <w:pPr>
              <w:pStyle w:val="263"/>
              <w:jc w:val="center"/>
              <w:rPr>
                <w:rFonts w:ascii="宋体" w:hAnsi="宋体" w:eastAsia="宋体" w:cs="宋体"/>
                <w:sz w:val="21"/>
                <w:highlight w:val="none"/>
              </w:rPr>
            </w:pPr>
            <w:r>
              <w:rPr>
                <w:rFonts w:ascii="宋体" w:hAnsi="宋体" w:eastAsia="宋体" w:cs="宋体"/>
                <w:sz w:val="21"/>
                <w:highlight w:val="none"/>
              </w:rPr>
              <w:t>有依法缴纳税收和社会保障资金的良好记录</w:t>
            </w:r>
          </w:p>
        </w:tc>
        <w:tc>
          <w:tcPr>
            <w:tcW w:w="7339" w:type="dxa"/>
            <w:noWrap w:val="0"/>
            <w:tcMar>
              <w:top w:w="100" w:type="dxa"/>
              <w:bottom w:w="100" w:type="dxa"/>
            </w:tcMar>
            <w:vAlign w:val="center"/>
          </w:tcPr>
          <w:p w14:paraId="47E1B1CD">
            <w:pPr>
              <w:pStyle w:val="263"/>
              <w:jc w:val="center"/>
              <w:rPr>
                <w:rFonts w:ascii="宋体" w:hAnsi="宋体" w:eastAsia="宋体" w:cs="宋体"/>
                <w:sz w:val="21"/>
                <w:highlight w:val="none"/>
              </w:rPr>
            </w:pPr>
            <w:r>
              <w:rPr>
                <w:rFonts w:ascii="宋体" w:hAnsi="宋体" w:eastAsia="宋体" w:cs="宋体"/>
                <w:sz w:val="21"/>
                <w:highlight w:val="none"/>
              </w:rPr>
              <w:t>提供参加本次政府采购活动</w:t>
            </w:r>
            <w:r>
              <w:rPr>
                <w:rFonts w:hint="eastAsia" w:ascii="宋体" w:hAnsi="宋体" w:eastAsia="宋体" w:cs="宋体"/>
                <w:sz w:val="21"/>
                <w:highlight w:val="none"/>
              </w:rPr>
              <w:t>近半年内至少一个月</w:t>
            </w:r>
            <w:r>
              <w:rPr>
                <w:rFonts w:hint="eastAsia" w:ascii="宋体" w:hAnsi="宋体" w:eastAsia="宋体" w:cs="宋体"/>
                <w:sz w:val="21"/>
                <w:highlight w:val="none"/>
                <w:lang w:eastAsia="zh-CN"/>
              </w:rPr>
              <w:t>的</w:t>
            </w:r>
            <w:r>
              <w:rPr>
                <w:rFonts w:ascii="宋体" w:hAnsi="宋体" w:eastAsia="宋体" w:cs="宋体"/>
                <w:sz w:val="21"/>
                <w:highlight w:val="none"/>
              </w:rPr>
              <w:t>依法缴纳税收和社会保</w:t>
            </w:r>
            <w:r>
              <w:rPr>
                <w:rFonts w:hint="eastAsia" w:ascii="宋体" w:hAnsi="宋体" w:eastAsia="宋体" w:cs="宋体"/>
                <w:sz w:val="21"/>
                <w:highlight w:val="none"/>
                <w:lang w:eastAsia="zh-CN"/>
              </w:rPr>
              <w:t>险</w:t>
            </w:r>
            <w:r>
              <w:rPr>
                <w:rFonts w:ascii="宋体" w:hAnsi="宋体" w:eastAsia="宋体" w:cs="宋体"/>
                <w:sz w:val="21"/>
                <w:highlight w:val="none"/>
              </w:rPr>
              <w:t>资金的相关材料扫描件</w:t>
            </w:r>
            <w:r>
              <w:rPr>
                <w:rFonts w:hint="eastAsia" w:ascii="宋体" w:hAnsi="宋体" w:eastAsia="宋体" w:cs="宋体"/>
                <w:sz w:val="21"/>
                <w:highlight w:val="none"/>
                <w:lang w:eastAsia="zh-CN"/>
              </w:rPr>
              <w:t>或提供资格承诺函</w:t>
            </w:r>
            <w:r>
              <w:rPr>
                <w:rFonts w:hint="eastAsia" w:ascii="宋体" w:hAnsi="宋体" w:eastAsia="宋体" w:cs="宋体"/>
                <w:sz w:val="21"/>
                <w:highlight w:val="none"/>
                <w:lang w:val="en-US" w:eastAsia="zh-CN"/>
              </w:rPr>
              <w:t>原件扫描件</w:t>
            </w:r>
            <w:r>
              <w:rPr>
                <w:rFonts w:ascii="宋体" w:hAnsi="宋体" w:eastAsia="宋体" w:cs="宋体"/>
                <w:sz w:val="21"/>
                <w:highlight w:val="none"/>
              </w:rPr>
              <w:t>。</w:t>
            </w:r>
          </w:p>
        </w:tc>
      </w:tr>
      <w:tr w14:paraId="16F92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0" w:type="dxa"/>
            <w:noWrap w:val="0"/>
            <w:tcMar>
              <w:top w:w="100" w:type="dxa"/>
              <w:bottom w:w="100" w:type="dxa"/>
            </w:tcMar>
            <w:vAlign w:val="center"/>
          </w:tcPr>
          <w:p w14:paraId="65391606">
            <w:pPr>
              <w:pStyle w:val="263"/>
              <w:jc w:val="center"/>
              <w:rPr>
                <w:rFonts w:ascii="宋体" w:hAnsi="宋体" w:eastAsia="宋体" w:cs="宋体"/>
                <w:sz w:val="21"/>
                <w:highlight w:val="none"/>
              </w:rPr>
            </w:pPr>
            <w:r>
              <w:rPr>
                <w:rFonts w:ascii="宋体" w:hAnsi="宋体" w:eastAsia="宋体" w:cs="宋体"/>
                <w:sz w:val="21"/>
                <w:highlight w:val="none"/>
              </w:rPr>
              <w:t>5</w:t>
            </w:r>
          </w:p>
        </w:tc>
        <w:tc>
          <w:tcPr>
            <w:tcW w:w="1532" w:type="dxa"/>
            <w:noWrap w:val="0"/>
            <w:tcMar>
              <w:top w:w="100" w:type="dxa"/>
              <w:bottom w:w="100" w:type="dxa"/>
            </w:tcMar>
            <w:vAlign w:val="center"/>
          </w:tcPr>
          <w:p w14:paraId="631F6779">
            <w:pPr>
              <w:pStyle w:val="263"/>
              <w:jc w:val="center"/>
              <w:rPr>
                <w:rFonts w:ascii="宋体" w:hAnsi="宋体" w:eastAsia="宋体" w:cs="宋体"/>
                <w:sz w:val="21"/>
                <w:highlight w:val="none"/>
              </w:rPr>
            </w:pPr>
            <w:r>
              <w:rPr>
                <w:rFonts w:ascii="宋体" w:hAnsi="宋体" w:eastAsia="宋体" w:cs="宋体"/>
                <w:sz w:val="21"/>
                <w:highlight w:val="none"/>
              </w:rPr>
              <w:t>参加政府采购活动前三年内，在经营活动中没有重大违法记录</w:t>
            </w:r>
          </w:p>
        </w:tc>
        <w:tc>
          <w:tcPr>
            <w:tcW w:w="7339" w:type="dxa"/>
            <w:noWrap w:val="0"/>
            <w:tcMar>
              <w:top w:w="100" w:type="dxa"/>
              <w:bottom w:w="100" w:type="dxa"/>
            </w:tcMar>
            <w:vAlign w:val="center"/>
          </w:tcPr>
          <w:p w14:paraId="0BE3480C">
            <w:pPr>
              <w:pStyle w:val="263"/>
              <w:jc w:val="center"/>
              <w:rPr>
                <w:rFonts w:ascii="宋体" w:hAnsi="宋体" w:eastAsia="宋体" w:cs="宋体"/>
                <w:sz w:val="21"/>
                <w:highlight w:val="none"/>
              </w:rPr>
            </w:pPr>
            <w:r>
              <w:rPr>
                <w:rFonts w:ascii="宋体" w:hAnsi="宋体" w:eastAsia="宋体" w:cs="宋体"/>
                <w:sz w:val="21"/>
                <w:highlight w:val="none"/>
              </w:rPr>
              <w:t>（1）</w:t>
            </w:r>
            <w:r>
              <w:rPr>
                <w:rFonts w:hint="eastAsia" w:ascii="宋体" w:hAnsi="宋体" w:eastAsia="宋体" w:cs="宋体"/>
                <w:sz w:val="21"/>
                <w:highlight w:val="none"/>
                <w:lang w:eastAsia="zh-CN"/>
              </w:rPr>
              <w:t>见</w:t>
            </w:r>
            <w:r>
              <w:rPr>
                <w:rFonts w:ascii="宋体" w:hAnsi="宋体" w:eastAsia="宋体" w:cs="宋体"/>
                <w:sz w:val="21"/>
                <w:highlight w:val="none"/>
              </w:rPr>
              <w:t>磋商承诺函</w:t>
            </w:r>
            <w:r>
              <w:rPr>
                <w:rFonts w:hint="eastAsia" w:ascii="宋体" w:hAnsi="宋体" w:eastAsia="宋体" w:cs="宋体"/>
                <w:sz w:val="21"/>
                <w:highlight w:val="none"/>
              </w:rPr>
              <w:t>或提供资格承诺函</w:t>
            </w:r>
            <w:r>
              <w:rPr>
                <w:rFonts w:ascii="宋体" w:hAnsi="宋体" w:eastAsia="宋体" w:cs="宋体"/>
                <w:sz w:val="21"/>
                <w:highlight w:val="none"/>
              </w:rPr>
              <w:t>。（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14:paraId="5F5E0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0" w:type="dxa"/>
            <w:noWrap w:val="0"/>
            <w:tcMar>
              <w:top w:w="100" w:type="dxa"/>
              <w:bottom w:w="100" w:type="dxa"/>
            </w:tcMar>
            <w:vAlign w:val="center"/>
          </w:tcPr>
          <w:p w14:paraId="6124D9E7">
            <w:pPr>
              <w:pStyle w:val="263"/>
              <w:jc w:val="center"/>
              <w:rPr>
                <w:rFonts w:ascii="宋体" w:hAnsi="宋体" w:eastAsia="宋体" w:cs="宋体"/>
                <w:sz w:val="21"/>
                <w:highlight w:val="none"/>
              </w:rPr>
            </w:pPr>
            <w:r>
              <w:rPr>
                <w:rFonts w:ascii="宋体" w:hAnsi="宋体" w:eastAsia="宋体" w:cs="宋体"/>
                <w:sz w:val="21"/>
                <w:highlight w:val="none"/>
              </w:rPr>
              <w:t>6</w:t>
            </w:r>
          </w:p>
        </w:tc>
        <w:tc>
          <w:tcPr>
            <w:tcW w:w="1532" w:type="dxa"/>
            <w:noWrap w:val="0"/>
            <w:tcMar>
              <w:top w:w="100" w:type="dxa"/>
              <w:bottom w:w="100" w:type="dxa"/>
            </w:tcMar>
            <w:vAlign w:val="center"/>
          </w:tcPr>
          <w:p w14:paraId="505DAD2E">
            <w:pPr>
              <w:pStyle w:val="263"/>
              <w:jc w:val="center"/>
              <w:rPr>
                <w:rFonts w:ascii="宋体" w:hAnsi="宋体" w:eastAsia="宋体" w:cs="宋体"/>
                <w:sz w:val="21"/>
                <w:highlight w:val="none"/>
              </w:rPr>
            </w:pPr>
            <w:r>
              <w:rPr>
                <w:rFonts w:ascii="宋体" w:hAnsi="宋体" w:eastAsia="宋体" w:cs="宋体"/>
                <w:sz w:val="21"/>
                <w:highlight w:val="none"/>
              </w:rPr>
              <w:t>法律、行政法规规定的其他条件</w:t>
            </w:r>
          </w:p>
        </w:tc>
        <w:tc>
          <w:tcPr>
            <w:tcW w:w="7339" w:type="dxa"/>
            <w:noWrap w:val="0"/>
            <w:tcMar>
              <w:top w:w="100" w:type="dxa"/>
              <w:bottom w:w="100" w:type="dxa"/>
            </w:tcMar>
            <w:vAlign w:val="center"/>
          </w:tcPr>
          <w:p w14:paraId="6D1A6342">
            <w:pPr>
              <w:pStyle w:val="263"/>
              <w:jc w:val="center"/>
              <w:rPr>
                <w:rFonts w:hint="eastAsia" w:ascii="宋体" w:hAnsi="宋体" w:eastAsia="宋体" w:cs="宋体"/>
                <w:sz w:val="21"/>
                <w:highlight w:val="none"/>
                <w:lang w:eastAsia="zh-CN"/>
              </w:rPr>
            </w:pPr>
            <w:r>
              <w:rPr>
                <w:rFonts w:hint="eastAsia" w:ascii="宋体" w:hAnsi="宋体" w:eastAsia="宋体" w:cs="宋体"/>
                <w:sz w:val="21"/>
                <w:highlight w:val="none"/>
                <w:lang w:val="en-US" w:eastAsia="zh-CN"/>
              </w:rPr>
              <w:t>无</w:t>
            </w:r>
          </w:p>
        </w:tc>
      </w:tr>
      <w:tr w14:paraId="2277A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0" w:type="dxa"/>
            <w:noWrap w:val="0"/>
            <w:tcMar>
              <w:top w:w="100" w:type="dxa"/>
              <w:bottom w:w="100" w:type="dxa"/>
            </w:tcMar>
            <w:vAlign w:val="center"/>
          </w:tcPr>
          <w:p w14:paraId="6A8972C4">
            <w:pPr>
              <w:pStyle w:val="263"/>
              <w:jc w:val="center"/>
              <w:rPr>
                <w:rFonts w:ascii="宋体" w:hAnsi="宋体" w:eastAsia="宋体" w:cs="宋体"/>
                <w:sz w:val="21"/>
                <w:highlight w:val="none"/>
              </w:rPr>
            </w:pPr>
            <w:r>
              <w:rPr>
                <w:rFonts w:ascii="宋体" w:hAnsi="宋体" w:eastAsia="宋体" w:cs="宋体"/>
                <w:sz w:val="21"/>
                <w:highlight w:val="none"/>
              </w:rPr>
              <w:t>7</w:t>
            </w:r>
          </w:p>
        </w:tc>
        <w:tc>
          <w:tcPr>
            <w:tcW w:w="1532" w:type="dxa"/>
            <w:noWrap w:val="0"/>
            <w:tcMar>
              <w:top w:w="100" w:type="dxa"/>
              <w:bottom w:w="100" w:type="dxa"/>
            </w:tcMar>
            <w:vAlign w:val="center"/>
          </w:tcPr>
          <w:p w14:paraId="752D727C">
            <w:pPr>
              <w:pStyle w:val="263"/>
              <w:jc w:val="center"/>
              <w:rPr>
                <w:rFonts w:ascii="宋体" w:hAnsi="宋体" w:eastAsia="宋体" w:cs="宋体"/>
                <w:sz w:val="21"/>
                <w:highlight w:val="none"/>
              </w:rPr>
            </w:pPr>
            <w:r>
              <w:rPr>
                <w:rFonts w:ascii="宋体" w:hAnsi="宋体" w:eastAsia="宋体" w:cs="宋体"/>
                <w:sz w:val="21"/>
                <w:highlight w:val="none"/>
              </w:rPr>
              <w:t>落实政府采购政策需满足的资格要求</w:t>
            </w:r>
          </w:p>
        </w:tc>
        <w:tc>
          <w:tcPr>
            <w:tcW w:w="7339" w:type="dxa"/>
            <w:noWrap w:val="0"/>
            <w:tcMar>
              <w:top w:w="100" w:type="dxa"/>
              <w:bottom w:w="100" w:type="dxa"/>
            </w:tcMar>
            <w:vAlign w:val="center"/>
          </w:tcPr>
          <w:p w14:paraId="6C075141">
            <w:pPr>
              <w:pStyle w:val="263"/>
              <w:jc w:val="center"/>
              <w:rPr>
                <w:rFonts w:ascii="宋体" w:hAnsi="宋体" w:eastAsia="宋体" w:cs="宋体"/>
                <w:sz w:val="21"/>
                <w:highlight w:val="none"/>
                <w:lang w:val="en-US" w:eastAsia="zh-CN"/>
              </w:rPr>
            </w:pPr>
            <w:r>
              <w:rPr>
                <w:rFonts w:hint="eastAsia" w:ascii="宋体" w:hAnsi="宋体" w:eastAsia="宋体" w:cs="宋体"/>
                <w:sz w:val="21"/>
                <w:highlight w:val="none"/>
                <w:lang w:eastAsia="zh-CN"/>
              </w:rPr>
              <w:t>本项目专门面向中小微企业，提供《中小企业声明函》或《残疾人福利性单位声明函》或监狱企业的证明文件</w:t>
            </w:r>
          </w:p>
        </w:tc>
      </w:tr>
      <w:tr w14:paraId="74BC5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00" w:type="dxa"/>
            <w:noWrap w:val="0"/>
            <w:tcMar>
              <w:top w:w="100" w:type="dxa"/>
              <w:bottom w:w="100" w:type="dxa"/>
            </w:tcMar>
            <w:vAlign w:val="center"/>
          </w:tcPr>
          <w:p w14:paraId="7ADA4FEF">
            <w:pPr>
              <w:pStyle w:val="263"/>
              <w:jc w:val="center"/>
              <w:rPr>
                <w:rFonts w:ascii="宋体" w:hAnsi="宋体" w:eastAsia="宋体" w:cs="宋体"/>
                <w:sz w:val="21"/>
                <w:highlight w:val="none"/>
              </w:rPr>
            </w:pPr>
            <w:r>
              <w:rPr>
                <w:rFonts w:ascii="宋体" w:hAnsi="宋体" w:eastAsia="宋体" w:cs="宋体"/>
                <w:sz w:val="21"/>
                <w:highlight w:val="none"/>
              </w:rPr>
              <w:t>8</w:t>
            </w:r>
          </w:p>
        </w:tc>
        <w:tc>
          <w:tcPr>
            <w:tcW w:w="1532" w:type="dxa"/>
            <w:noWrap w:val="0"/>
            <w:tcMar>
              <w:top w:w="100" w:type="dxa"/>
              <w:bottom w:w="100" w:type="dxa"/>
            </w:tcMar>
            <w:vAlign w:val="center"/>
          </w:tcPr>
          <w:p w14:paraId="6847486C">
            <w:pPr>
              <w:pStyle w:val="263"/>
              <w:jc w:val="center"/>
              <w:rPr>
                <w:rFonts w:ascii="宋体" w:hAnsi="宋体" w:eastAsia="宋体" w:cs="宋体"/>
                <w:sz w:val="21"/>
                <w:highlight w:val="none"/>
              </w:rPr>
            </w:pPr>
            <w:r>
              <w:rPr>
                <w:rFonts w:ascii="宋体" w:hAnsi="宋体" w:eastAsia="宋体" w:cs="宋体"/>
                <w:sz w:val="21"/>
                <w:highlight w:val="none"/>
              </w:rPr>
              <w:t>本项目的特定资格要求</w:t>
            </w:r>
          </w:p>
        </w:tc>
        <w:tc>
          <w:tcPr>
            <w:tcW w:w="7339" w:type="dxa"/>
            <w:noWrap w:val="0"/>
            <w:tcMar>
              <w:top w:w="100" w:type="dxa"/>
              <w:bottom w:w="100" w:type="dxa"/>
            </w:tcMar>
            <w:vAlign w:val="center"/>
          </w:tcPr>
          <w:p w14:paraId="38FA4867">
            <w:pPr>
              <w:pStyle w:val="263"/>
              <w:jc w:val="both"/>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①供应商须具有电力总承包三级资质（含）以上或输变电工程专业承包三级资质（含）以上（提供有效的资质证书原件扫描件）②具有电力承装（修、试）三级（含）以上资质（提供有效的资质证书原件扫描件）③具有安全生产许可证（提供有效的安全生产许可证原件扫描件）。</w:t>
            </w:r>
          </w:p>
        </w:tc>
      </w:tr>
    </w:tbl>
    <w:p w14:paraId="7A468F4A">
      <w:pPr>
        <w:rPr>
          <w:highlight w:val="none"/>
        </w:rPr>
      </w:pPr>
      <w:r>
        <w:rPr>
          <w:rFonts w:hint="eastAsia"/>
          <w:color w:val="000080"/>
          <w:sz w:val="20"/>
          <w:highlight w:val="none"/>
        </w:rPr>
        <w:t xml:space="preserve"> </w:t>
      </w:r>
      <w:bookmarkEnd w:id="291"/>
      <w:bookmarkStart w:id="294" w:name="EB63fb89a80b3b46c389fe3b5bb7ccf298"/>
      <w:r>
        <w:rPr>
          <w:rFonts w:hint="eastAsia"/>
          <w:color w:val="000080"/>
          <w:sz w:val="20"/>
          <w:highlight w:val="none"/>
        </w:rPr>
        <w:t xml:space="preserve"> </w:t>
      </w:r>
      <w:bookmarkEnd w:id="294"/>
    </w:p>
    <w:p w14:paraId="1BF2F45A">
      <w:pPr>
        <w:pStyle w:val="188"/>
        <w:numPr>
          <w:ilvl w:val="0"/>
          <w:numId w:val="7"/>
        </w:numPr>
        <w:spacing w:line="400" w:lineRule="exact"/>
        <w:ind w:left="440" w:hanging="440"/>
        <w:jc w:val="left"/>
        <w:rPr>
          <w:rFonts w:hint="eastAsia" w:ascii="宋体" w:hAnsi="宋体" w:eastAsia="宋体"/>
          <w:color w:val="000000"/>
          <w:sz w:val="32"/>
          <w:highlight w:val="none"/>
        </w:rPr>
      </w:pPr>
      <w:bookmarkStart w:id="295" w:name="_Toc73364904"/>
      <w:bookmarkStart w:id="296" w:name="_Toc25696"/>
      <w:bookmarkStart w:id="297" w:name="_Toc73365517"/>
      <w:r>
        <w:rPr>
          <w:rFonts w:hint="eastAsia" w:ascii="宋体" w:hAnsi="宋体" w:eastAsia="宋体"/>
          <w:color w:val="000000"/>
          <w:sz w:val="32"/>
          <w:highlight w:val="none"/>
        </w:rPr>
        <w:t>磋商响应文件的有效性、完整性和响应程度审查</w:t>
      </w:r>
      <w:bookmarkEnd w:id="295"/>
      <w:bookmarkEnd w:id="296"/>
      <w:bookmarkEnd w:id="297"/>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9"/>
        <w:gridCol w:w="3202"/>
        <w:gridCol w:w="5461"/>
      </w:tblGrid>
      <w:tr w14:paraId="3C461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2" w:type="dxa"/>
            <w:noWrap w:val="0"/>
            <w:vAlign w:val="top"/>
          </w:tcPr>
          <w:p w14:paraId="1E6AB9EC">
            <w:pPr>
              <w:spacing w:line="360" w:lineRule="auto"/>
              <w:jc w:val="center"/>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序号</w:t>
            </w:r>
          </w:p>
        </w:tc>
        <w:tc>
          <w:tcPr>
            <w:tcW w:w="3218" w:type="dxa"/>
            <w:noWrap w:val="0"/>
            <w:vAlign w:val="top"/>
          </w:tcPr>
          <w:p w14:paraId="508E62D3">
            <w:pPr>
              <w:spacing w:line="360" w:lineRule="auto"/>
              <w:jc w:val="center"/>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审查要素</w:t>
            </w:r>
          </w:p>
        </w:tc>
        <w:tc>
          <w:tcPr>
            <w:tcW w:w="5489" w:type="dxa"/>
            <w:noWrap w:val="0"/>
            <w:vAlign w:val="top"/>
          </w:tcPr>
          <w:p w14:paraId="43601523">
            <w:pPr>
              <w:spacing w:line="360" w:lineRule="auto"/>
              <w:jc w:val="center"/>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审查内容</w:t>
            </w:r>
          </w:p>
        </w:tc>
      </w:tr>
      <w:tr w14:paraId="4C06D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22" w:type="dxa"/>
            <w:vMerge w:val="restart"/>
            <w:noWrap w:val="0"/>
            <w:vAlign w:val="center"/>
          </w:tcPr>
          <w:p w14:paraId="604B26EC">
            <w:pPr>
              <w:spacing w:line="360" w:lineRule="auto"/>
              <w:jc w:val="center"/>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1</w:t>
            </w:r>
          </w:p>
        </w:tc>
        <w:tc>
          <w:tcPr>
            <w:tcW w:w="3218" w:type="dxa"/>
            <w:vMerge w:val="restart"/>
            <w:noWrap w:val="0"/>
            <w:vAlign w:val="center"/>
          </w:tcPr>
          <w:p w14:paraId="2C2D71C2">
            <w:pPr>
              <w:spacing w:line="360"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投标文件有效性</w:t>
            </w:r>
          </w:p>
        </w:tc>
        <w:tc>
          <w:tcPr>
            <w:tcW w:w="5489" w:type="dxa"/>
            <w:noWrap w:val="0"/>
            <w:vAlign w:val="center"/>
          </w:tcPr>
          <w:p w14:paraId="0577E09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投标文件的有效电子签章。</w:t>
            </w:r>
          </w:p>
        </w:tc>
      </w:tr>
      <w:tr w14:paraId="1819A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9" w:hRule="atLeast"/>
        </w:trPr>
        <w:tc>
          <w:tcPr>
            <w:tcW w:w="922" w:type="dxa"/>
            <w:vMerge w:val="continue"/>
            <w:noWrap w:val="0"/>
            <w:vAlign w:val="center"/>
          </w:tcPr>
          <w:p w14:paraId="6394478C">
            <w:pPr>
              <w:spacing w:line="360" w:lineRule="auto"/>
              <w:jc w:val="center"/>
              <w:rPr>
                <w:rFonts w:hint="eastAsia" w:ascii="宋体" w:hAnsi="宋体" w:eastAsia="宋体" w:cs="宋体"/>
                <w:sz w:val="21"/>
                <w:szCs w:val="21"/>
                <w:highlight w:val="none"/>
              </w:rPr>
            </w:pPr>
          </w:p>
        </w:tc>
        <w:tc>
          <w:tcPr>
            <w:tcW w:w="3218" w:type="dxa"/>
            <w:vMerge w:val="continue"/>
            <w:noWrap w:val="0"/>
            <w:vAlign w:val="center"/>
          </w:tcPr>
          <w:p w14:paraId="7FFC2A78">
            <w:pPr>
              <w:spacing w:line="360" w:lineRule="auto"/>
              <w:rPr>
                <w:rFonts w:hint="eastAsia" w:ascii="宋体" w:hAnsi="宋体" w:eastAsia="宋体" w:cs="宋体"/>
                <w:sz w:val="21"/>
                <w:szCs w:val="21"/>
                <w:highlight w:val="none"/>
              </w:rPr>
            </w:pPr>
          </w:p>
        </w:tc>
        <w:tc>
          <w:tcPr>
            <w:tcW w:w="5489" w:type="dxa"/>
            <w:noWrap w:val="0"/>
            <w:vAlign w:val="center"/>
          </w:tcPr>
          <w:p w14:paraId="7DB659B6">
            <w:pPr>
              <w:spacing w:line="360"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eastAsia="en-US"/>
              </w:rPr>
              <w:t>报价。</w:t>
            </w:r>
          </w:p>
        </w:tc>
      </w:tr>
      <w:tr w14:paraId="5AD87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2" w:hRule="atLeast"/>
        </w:trPr>
        <w:tc>
          <w:tcPr>
            <w:tcW w:w="922" w:type="dxa"/>
            <w:vMerge w:val="continue"/>
            <w:noWrap w:val="0"/>
            <w:vAlign w:val="center"/>
          </w:tcPr>
          <w:p w14:paraId="1DFE7FF6">
            <w:pPr>
              <w:spacing w:line="360" w:lineRule="auto"/>
              <w:jc w:val="center"/>
              <w:rPr>
                <w:rFonts w:hint="eastAsia" w:ascii="宋体" w:hAnsi="宋体" w:eastAsia="宋体" w:cs="宋体"/>
                <w:sz w:val="21"/>
                <w:szCs w:val="21"/>
                <w:highlight w:val="none"/>
                <w:lang w:eastAsia="en-US"/>
              </w:rPr>
            </w:pPr>
          </w:p>
        </w:tc>
        <w:tc>
          <w:tcPr>
            <w:tcW w:w="3218" w:type="dxa"/>
            <w:vMerge w:val="continue"/>
            <w:noWrap w:val="0"/>
            <w:vAlign w:val="center"/>
          </w:tcPr>
          <w:p w14:paraId="0EA33934">
            <w:pPr>
              <w:spacing w:line="360" w:lineRule="auto"/>
              <w:rPr>
                <w:rFonts w:hint="eastAsia" w:ascii="宋体" w:hAnsi="宋体" w:eastAsia="宋体" w:cs="宋体"/>
                <w:sz w:val="21"/>
                <w:szCs w:val="21"/>
                <w:highlight w:val="none"/>
                <w:lang w:eastAsia="en-US"/>
              </w:rPr>
            </w:pPr>
          </w:p>
        </w:tc>
        <w:tc>
          <w:tcPr>
            <w:tcW w:w="5489" w:type="dxa"/>
            <w:noWrap w:val="0"/>
            <w:vAlign w:val="center"/>
          </w:tcPr>
          <w:p w14:paraId="60DC6677">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未发现属无效响应的其他情形。</w:t>
            </w:r>
          </w:p>
        </w:tc>
      </w:tr>
      <w:tr w14:paraId="0407E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7" w:hRule="atLeast"/>
        </w:trPr>
        <w:tc>
          <w:tcPr>
            <w:tcW w:w="922" w:type="dxa"/>
            <w:noWrap w:val="0"/>
            <w:vAlign w:val="center"/>
          </w:tcPr>
          <w:p w14:paraId="507E2D14">
            <w:pPr>
              <w:spacing w:line="360" w:lineRule="auto"/>
              <w:jc w:val="center"/>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2</w:t>
            </w:r>
          </w:p>
        </w:tc>
        <w:tc>
          <w:tcPr>
            <w:tcW w:w="3218" w:type="dxa"/>
            <w:noWrap w:val="0"/>
            <w:vAlign w:val="center"/>
          </w:tcPr>
          <w:p w14:paraId="35731CE4">
            <w:pPr>
              <w:spacing w:line="360" w:lineRule="auto"/>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对</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eastAsia="en-US"/>
              </w:rPr>
              <w:t>文件响应程度</w:t>
            </w:r>
          </w:p>
        </w:tc>
        <w:tc>
          <w:tcPr>
            <w:tcW w:w="5489" w:type="dxa"/>
            <w:noWrap w:val="0"/>
            <w:vAlign w:val="top"/>
          </w:tcPr>
          <w:p w14:paraId="504ED1F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审查</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文件，以确定其是否满足</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rPr>
              <w:t>文件的实质性要求。不满足</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rPr>
              <w:t>文件的实质性要求的，投标无效。</w:t>
            </w:r>
          </w:p>
        </w:tc>
      </w:tr>
    </w:tbl>
    <w:p w14:paraId="4AFB7062">
      <w:pPr>
        <w:rPr>
          <w:color w:val="000080"/>
          <w:sz w:val="20"/>
          <w:highlight w:val="none"/>
        </w:rPr>
      </w:pPr>
      <w:bookmarkStart w:id="298" w:name="EB5ff77f62222b43a48ee845bbfe38b65b"/>
      <w:r>
        <w:rPr>
          <w:rFonts w:hint="eastAsia"/>
          <w:color w:val="000080"/>
          <w:sz w:val="20"/>
          <w:highlight w:val="none"/>
        </w:rPr>
        <w:t xml:space="preserve"> </w:t>
      </w:r>
      <w:bookmarkEnd w:id="298"/>
    </w:p>
    <w:p w14:paraId="3FCE8FAE">
      <w:pPr>
        <w:spacing w:line="360" w:lineRule="auto"/>
        <w:ind w:firstLine="480"/>
        <w:rPr>
          <w:rFonts w:ascii="宋体" w:hAnsi="宋体"/>
          <w:color w:val="000000"/>
          <w:sz w:val="24"/>
          <w:highlight w:val="none"/>
        </w:rPr>
      </w:pPr>
      <w:r>
        <w:rPr>
          <w:rFonts w:hint="eastAsia" w:ascii="宋体" w:hAnsi="宋体"/>
          <w:color w:val="000000"/>
          <w:sz w:val="24"/>
          <w:highlight w:val="non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4F28FB93">
      <w:pPr>
        <w:pStyle w:val="188"/>
        <w:spacing w:line="400" w:lineRule="exact"/>
        <w:ind w:firstLine="321"/>
        <w:jc w:val="left"/>
        <w:rPr>
          <w:rFonts w:ascii="宋体" w:hAnsi="宋体" w:eastAsia="宋体"/>
          <w:color w:val="000000"/>
          <w:sz w:val="32"/>
          <w:highlight w:val="none"/>
        </w:rPr>
      </w:pPr>
      <w:bookmarkStart w:id="299" w:name="_Toc73364905"/>
      <w:bookmarkStart w:id="300" w:name="_Toc3345"/>
      <w:bookmarkStart w:id="301" w:name="_Toc73365518"/>
      <w:r>
        <w:rPr>
          <w:rFonts w:hint="eastAsia" w:ascii="宋体" w:hAnsi="宋体" w:eastAsia="宋体"/>
          <w:color w:val="000000"/>
          <w:sz w:val="32"/>
          <w:highlight w:val="none"/>
        </w:rPr>
        <w:t>5．磋商记录</w:t>
      </w:r>
      <w:bookmarkEnd w:id="299"/>
      <w:bookmarkEnd w:id="300"/>
      <w:bookmarkEnd w:id="301"/>
    </w:p>
    <w:p w14:paraId="48E966E1">
      <w:pPr>
        <w:spacing w:line="360" w:lineRule="auto"/>
        <w:ind w:firstLine="480"/>
        <w:rPr>
          <w:rFonts w:ascii="宋体" w:hAnsi="宋体"/>
          <w:color w:val="000000"/>
          <w:sz w:val="24"/>
          <w:highlight w:val="none"/>
        </w:rPr>
      </w:pPr>
      <w:r>
        <w:rPr>
          <w:rFonts w:hint="eastAsia" w:ascii="宋体" w:hAnsi="宋体"/>
          <w:color w:val="000000"/>
          <w:sz w:val="24"/>
          <w:highlight w:val="none"/>
        </w:rPr>
        <w:t>5.1《磋商记录》包括供应商答复或承诺的内容、磋商文件的变动情况及最后报价等。</w:t>
      </w:r>
    </w:p>
    <w:p w14:paraId="066620A7">
      <w:pPr>
        <w:pStyle w:val="188"/>
        <w:spacing w:line="400" w:lineRule="exact"/>
        <w:ind w:firstLine="321"/>
        <w:jc w:val="left"/>
        <w:rPr>
          <w:rFonts w:ascii="宋体" w:hAnsi="宋体" w:eastAsia="宋体"/>
          <w:color w:val="000000"/>
          <w:sz w:val="32"/>
          <w:highlight w:val="none"/>
        </w:rPr>
      </w:pPr>
      <w:bookmarkStart w:id="302" w:name="_Toc23024"/>
      <w:bookmarkStart w:id="303" w:name="_Toc73365519"/>
      <w:bookmarkStart w:id="304" w:name="_Toc73364906"/>
      <w:r>
        <w:rPr>
          <w:rFonts w:hint="eastAsia" w:ascii="宋体" w:hAnsi="宋体" w:eastAsia="宋体"/>
          <w:color w:val="000000"/>
          <w:sz w:val="32"/>
          <w:highlight w:val="none"/>
        </w:rPr>
        <w:t>6．综合评分</w:t>
      </w:r>
      <w:bookmarkEnd w:id="302"/>
      <w:bookmarkEnd w:id="303"/>
      <w:bookmarkEnd w:id="304"/>
    </w:p>
    <w:p w14:paraId="45A6C4F5">
      <w:pPr>
        <w:pStyle w:val="188"/>
        <w:spacing w:line="400" w:lineRule="exact"/>
        <w:ind w:firstLine="321"/>
        <w:jc w:val="left"/>
        <w:rPr>
          <w:rFonts w:hint="eastAsia" w:ascii="宋体" w:hAnsi="宋体" w:eastAsia="宋体" w:cs="Times New Roman"/>
          <w:b w:val="0"/>
          <w:color w:val="000000"/>
          <w:sz w:val="24"/>
          <w:szCs w:val="20"/>
          <w:highlight w:val="none"/>
        </w:rPr>
      </w:pPr>
      <w:r>
        <w:rPr>
          <w:rFonts w:hint="eastAsia" w:ascii="宋体" w:hAnsi="宋体" w:eastAsia="宋体" w:cs="Times New Roman"/>
          <w:b w:val="0"/>
          <w:color w:val="000000"/>
          <w:sz w:val="24"/>
          <w:szCs w:val="20"/>
          <w:highlight w:val="none"/>
        </w:rPr>
        <w:t>经磋商确定最终采购需求和提交最后报价的供应商后，磋商小组采用综合评分法对提交最后报价的供应商的磋商响应文件和最后报价进行综合评分，总分100分。</w:t>
      </w:r>
      <w:bookmarkStart w:id="305" w:name="_Toc73365520"/>
      <w:bookmarkStart w:id="306" w:name="_Toc1515"/>
      <w:bookmarkStart w:id="307" w:name="_Toc73364907"/>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5"/>
        <w:gridCol w:w="2395"/>
        <w:gridCol w:w="2396"/>
        <w:gridCol w:w="2396"/>
      </w:tblGrid>
      <w:tr w14:paraId="4567E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auto" w:sz="4" w:space="0"/>
              <w:right w:val="single" w:color="000000" w:sz="2" w:space="0"/>
            </w:tcBorders>
            <w:noWrap w:val="0"/>
            <w:tcMar>
              <w:top w:w="100" w:type="dxa"/>
              <w:bottom w:w="100" w:type="dxa"/>
            </w:tcMar>
            <w:vAlign w:val="center"/>
          </w:tcPr>
          <w:p w14:paraId="64DB5707">
            <w:pPr>
              <w:pStyle w:val="263"/>
              <w:jc w:val="center"/>
              <w:rPr>
                <w:rStyle w:val="35"/>
                <w:rFonts w:ascii="宋体" w:hAnsi="宋体" w:eastAsia="宋体" w:cs="宋体"/>
                <w:b w:val="0"/>
                <w:color w:val="000000"/>
                <w:sz w:val="21"/>
                <w:szCs w:val="24"/>
                <w:highlight w:val="none"/>
              </w:rPr>
            </w:pPr>
            <w:bookmarkStart w:id="308" w:name="EBeb38bac6236d407ea758a92f796301c6"/>
            <w:r>
              <w:rPr>
                <w:rStyle w:val="35"/>
                <w:rFonts w:ascii="宋体" w:hAnsi="宋体" w:eastAsia="宋体" w:cs="宋体"/>
                <w:b w:val="0"/>
                <w:color w:val="000000"/>
                <w:sz w:val="21"/>
                <w:szCs w:val="24"/>
                <w:highlight w:val="none"/>
              </w:rPr>
              <w:t>评分项目</w:t>
            </w:r>
          </w:p>
        </w:tc>
        <w:tc>
          <w:tcPr>
            <w:tcW w:w="0" w:type="auto"/>
            <w:tcBorders>
              <w:top w:val="single" w:color="000000" w:sz="2" w:space="0"/>
              <w:left w:val="single" w:color="000000" w:sz="2" w:space="0"/>
              <w:bottom w:val="single" w:color="auto" w:sz="4" w:space="0"/>
              <w:right w:val="single" w:color="000000" w:sz="2" w:space="0"/>
            </w:tcBorders>
            <w:noWrap w:val="0"/>
            <w:tcMar>
              <w:top w:w="100" w:type="dxa"/>
              <w:bottom w:w="100" w:type="dxa"/>
            </w:tcMar>
            <w:vAlign w:val="center"/>
          </w:tcPr>
          <w:p w14:paraId="533F0BBD">
            <w:pPr>
              <w:pStyle w:val="263"/>
              <w:jc w:val="center"/>
              <w:rPr>
                <w:rStyle w:val="35"/>
                <w:rFonts w:ascii="宋体" w:hAnsi="宋体" w:eastAsia="宋体" w:cs="宋体"/>
                <w:b w:val="0"/>
                <w:color w:val="000000"/>
                <w:sz w:val="21"/>
                <w:szCs w:val="24"/>
                <w:highlight w:val="none"/>
              </w:rPr>
            </w:pPr>
            <w:r>
              <w:rPr>
                <w:rStyle w:val="35"/>
                <w:rFonts w:ascii="宋体" w:hAnsi="宋体" w:eastAsia="宋体" w:cs="宋体"/>
                <w:b w:val="0"/>
                <w:color w:val="000000"/>
                <w:sz w:val="21"/>
                <w:szCs w:val="24"/>
                <w:highlight w:val="none"/>
              </w:rPr>
              <w:t>技术评估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283944">
            <w:pPr>
              <w:pStyle w:val="263"/>
              <w:jc w:val="center"/>
              <w:rPr>
                <w:rStyle w:val="35"/>
                <w:rFonts w:ascii="宋体" w:hAnsi="宋体" w:eastAsia="宋体" w:cs="宋体"/>
                <w:b w:val="0"/>
                <w:color w:val="000000"/>
                <w:sz w:val="21"/>
                <w:szCs w:val="24"/>
                <w:highlight w:val="none"/>
              </w:rPr>
            </w:pPr>
            <w:r>
              <w:rPr>
                <w:rStyle w:val="35"/>
                <w:rFonts w:ascii="宋体" w:hAnsi="宋体" w:eastAsia="宋体" w:cs="宋体"/>
                <w:b w:val="0"/>
                <w:color w:val="000000"/>
                <w:sz w:val="21"/>
                <w:szCs w:val="24"/>
                <w:highlight w:val="none"/>
              </w:rPr>
              <w:t>商务评估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9FA9FD">
            <w:pPr>
              <w:pStyle w:val="263"/>
              <w:jc w:val="center"/>
              <w:rPr>
                <w:rStyle w:val="35"/>
                <w:rFonts w:ascii="宋体" w:hAnsi="宋体" w:eastAsia="宋体" w:cs="宋体"/>
                <w:b w:val="0"/>
                <w:color w:val="000000"/>
                <w:sz w:val="21"/>
                <w:szCs w:val="24"/>
                <w:highlight w:val="none"/>
              </w:rPr>
            </w:pPr>
            <w:r>
              <w:rPr>
                <w:rStyle w:val="35"/>
                <w:rFonts w:ascii="宋体" w:hAnsi="宋体" w:eastAsia="宋体" w:cs="宋体"/>
                <w:b w:val="0"/>
                <w:color w:val="000000"/>
                <w:sz w:val="21"/>
                <w:szCs w:val="24"/>
                <w:highlight w:val="none"/>
              </w:rPr>
              <w:t>价格评估</w:t>
            </w:r>
          </w:p>
        </w:tc>
      </w:tr>
      <w:tr w14:paraId="07B89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0" w:type="auto"/>
            <w:tcBorders>
              <w:top w:val="single" w:color="auto" w:sz="4" w:space="0"/>
              <w:left w:val="single" w:color="auto" w:sz="4" w:space="0"/>
              <w:bottom w:val="single" w:color="auto" w:sz="4" w:space="0"/>
              <w:right w:val="single" w:color="auto" w:sz="4" w:space="0"/>
            </w:tcBorders>
            <w:noWrap w:val="0"/>
            <w:tcMar>
              <w:top w:w="100" w:type="dxa"/>
              <w:bottom w:w="100" w:type="dxa"/>
            </w:tcMar>
            <w:vAlign w:val="center"/>
          </w:tcPr>
          <w:p w14:paraId="747CCCFC">
            <w:pPr>
              <w:pStyle w:val="263"/>
              <w:jc w:val="center"/>
              <w:rPr>
                <w:rStyle w:val="35"/>
                <w:rFonts w:ascii="宋体" w:hAnsi="宋体" w:eastAsia="宋体" w:cs="宋体"/>
                <w:b w:val="0"/>
                <w:color w:val="000000"/>
                <w:sz w:val="21"/>
                <w:szCs w:val="24"/>
                <w:highlight w:val="none"/>
              </w:rPr>
            </w:pPr>
            <w:r>
              <w:rPr>
                <w:rStyle w:val="35"/>
                <w:rFonts w:ascii="宋体" w:hAnsi="宋体" w:eastAsia="宋体" w:cs="宋体"/>
                <w:b w:val="0"/>
                <w:color w:val="000000"/>
                <w:sz w:val="21"/>
                <w:szCs w:val="24"/>
                <w:highlight w:val="none"/>
              </w:rPr>
              <w:t>分值</w:t>
            </w:r>
          </w:p>
        </w:tc>
        <w:tc>
          <w:tcPr>
            <w:tcW w:w="2395" w:type="dxa"/>
            <w:tcBorders>
              <w:top w:val="single" w:color="auto" w:sz="4" w:space="0"/>
              <w:left w:val="single" w:color="auto" w:sz="4" w:space="0"/>
              <w:bottom w:val="single" w:color="auto" w:sz="4" w:space="0"/>
              <w:right w:val="single" w:color="auto" w:sz="4" w:space="0"/>
            </w:tcBorders>
            <w:noWrap w:val="0"/>
            <w:tcMar>
              <w:top w:w="100" w:type="dxa"/>
              <w:bottom w:w="100" w:type="dxa"/>
            </w:tcMar>
            <w:vAlign w:val="center"/>
          </w:tcPr>
          <w:p w14:paraId="401CC19E">
            <w:pPr>
              <w:widowControl/>
              <w:spacing w:line="360" w:lineRule="auto"/>
              <w:jc w:val="center"/>
              <w:rPr>
                <w:rStyle w:val="35"/>
                <w:rFonts w:hint="default" w:ascii="宋体" w:hAnsi="宋体" w:eastAsia="宋体" w:cs="宋体"/>
                <w:b w:val="0"/>
                <w:color w:val="000000"/>
                <w:kern w:val="0"/>
                <w:sz w:val="21"/>
                <w:szCs w:val="24"/>
                <w:highlight w:val="none"/>
                <w:lang w:val="en-US" w:eastAsia="zh-CN" w:bidi="ar-SA"/>
              </w:rPr>
            </w:pPr>
            <w:r>
              <w:rPr>
                <w:rStyle w:val="35"/>
                <w:rFonts w:hint="eastAsia" w:cs="宋体"/>
                <w:b w:val="0"/>
                <w:color w:val="000000"/>
                <w:kern w:val="0"/>
                <w:sz w:val="21"/>
                <w:szCs w:val="24"/>
                <w:highlight w:val="none"/>
                <w:lang w:val="en-US" w:eastAsia="zh-CN" w:bidi="ar-SA"/>
              </w:rPr>
              <w:t>51</w:t>
            </w:r>
          </w:p>
        </w:tc>
        <w:tc>
          <w:tcPr>
            <w:tcW w:w="2396" w:type="dxa"/>
            <w:tcBorders>
              <w:top w:val="single" w:color="000000" w:sz="2" w:space="0"/>
              <w:left w:val="single" w:color="auto" w:sz="4" w:space="0"/>
              <w:bottom w:val="single" w:color="000000" w:sz="2" w:space="0"/>
              <w:right w:val="single" w:color="000000" w:sz="2" w:space="0"/>
            </w:tcBorders>
            <w:noWrap w:val="0"/>
            <w:tcMar>
              <w:top w:w="100" w:type="dxa"/>
              <w:bottom w:w="100" w:type="dxa"/>
            </w:tcMar>
            <w:vAlign w:val="center"/>
          </w:tcPr>
          <w:p w14:paraId="3EE37057">
            <w:pPr>
              <w:widowControl/>
              <w:spacing w:line="360" w:lineRule="auto"/>
              <w:jc w:val="center"/>
              <w:rPr>
                <w:rStyle w:val="35"/>
                <w:rFonts w:hint="default" w:ascii="宋体" w:hAnsi="宋体" w:eastAsia="宋体" w:cs="宋体"/>
                <w:b w:val="0"/>
                <w:color w:val="000000"/>
                <w:kern w:val="0"/>
                <w:sz w:val="21"/>
                <w:szCs w:val="24"/>
                <w:highlight w:val="none"/>
                <w:lang w:val="en-US" w:eastAsia="zh-CN" w:bidi="ar-SA"/>
              </w:rPr>
            </w:pPr>
            <w:r>
              <w:rPr>
                <w:rStyle w:val="35"/>
                <w:rFonts w:hint="eastAsia" w:cs="宋体"/>
                <w:b w:val="0"/>
                <w:color w:val="000000"/>
                <w:kern w:val="0"/>
                <w:sz w:val="21"/>
                <w:szCs w:val="24"/>
                <w:highlight w:val="none"/>
                <w:lang w:val="en-US" w:eastAsia="zh-CN" w:bidi="ar-SA"/>
              </w:rPr>
              <w:t>29</w:t>
            </w:r>
          </w:p>
        </w:tc>
        <w:tc>
          <w:tcPr>
            <w:tcW w:w="239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BD9C20">
            <w:pPr>
              <w:widowControl/>
              <w:spacing w:line="360" w:lineRule="auto"/>
              <w:jc w:val="center"/>
              <w:rPr>
                <w:rStyle w:val="35"/>
                <w:rFonts w:hint="default" w:ascii="宋体" w:hAnsi="宋体" w:eastAsia="宋体" w:cs="宋体"/>
                <w:b w:val="0"/>
                <w:color w:val="000000"/>
                <w:kern w:val="0"/>
                <w:sz w:val="21"/>
                <w:szCs w:val="24"/>
                <w:highlight w:val="none"/>
                <w:lang w:val="en-US" w:eastAsia="zh-CN" w:bidi="ar-SA"/>
              </w:rPr>
            </w:pPr>
            <w:r>
              <w:rPr>
                <w:rStyle w:val="35"/>
                <w:rFonts w:hint="eastAsia" w:cs="宋体"/>
                <w:b w:val="0"/>
                <w:color w:val="000000"/>
                <w:kern w:val="0"/>
                <w:sz w:val="21"/>
                <w:szCs w:val="24"/>
                <w:highlight w:val="none"/>
                <w:lang w:val="en-US" w:eastAsia="zh-CN" w:bidi="ar-SA"/>
              </w:rPr>
              <w:t>20</w:t>
            </w:r>
          </w:p>
        </w:tc>
      </w:tr>
    </w:tbl>
    <w:p w14:paraId="33BE4501">
      <w:pPr>
        <w:rPr>
          <w:rFonts w:hint="eastAsia" w:ascii="宋体" w:hAnsi="宋体"/>
          <w:b/>
          <w:color w:val="000000"/>
          <w:sz w:val="24"/>
          <w:highlight w:val="none"/>
        </w:rPr>
      </w:pPr>
      <w:r>
        <w:rPr>
          <w:rFonts w:hint="eastAsia"/>
          <w:color w:val="000000"/>
          <w:sz w:val="20"/>
          <w:highlight w:val="none"/>
        </w:rPr>
        <w:t xml:space="preserve"> </w:t>
      </w:r>
      <w:bookmarkEnd w:id="308"/>
      <w:r>
        <w:rPr>
          <w:rFonts w:hint="eastAsia"/>
          <w:b/>
          <w:bCs/>
          <w:color w:val="000000"/>
          <w:sz w:val="20"/>
          <w:highlight w:val="none"/>
          <w:lang w:eastAsia="zh-CN"/>
        </w:rPr>
        <w:t>（</w:t>
      </w:r>
      <w:r>
        <w:rPr>
          <w:rFonts w:hint="eastAsia"/>
          <w:b/>
          <w:bCs/>
          <w:color w:val="000000"/>
          <w:sz w:val="20"/>
          <w:highlight w:val="none"/>
          <w:lang w:val="en-US" w:eastAsia="zh-CN"/>
        </w:rPr>
        <w:t>一</w:t>
      </w:r>
      <w:r>
        <w:rPr>
          <w:rFonts w:hint="eastAsia"/>
          <w:b/>
          <w:bCs/>
          <w:color w:val="000000"/>
          <w:sz w:val="20"/>
          <w:highlight w:val="none"/>
          <w:lang w:eastAsia="zh-CN"/>
        </w:rPr>
        <w:t>）</w:t>
      </w:r>
      <w:r>
        <w:rPr>
          <w:rFonts w:hint="eastAsia" w:ascii="宋体" w:hAnsi="宋体"/>
          <w:b/>
          <w:bCs/>
          <w:color w:val="000000"/>
          <w:sz w:val="24"/>
          <w:highlight w:val="none"/>
        </w:rPr>
        <w:t>技</w:t>
      </w:r>
      <w:r>
        <w:rPr>
          <w:rFonts w:hint="eastAsia" w:ascii="宋体" w:hAnsi="宋体"/>
          <w:b/>
          <w:color w:val="000000"/>
          <w:sz w:val="24"/>
          <w:highlight w:val="none"/>
        </w:rPr>
        <w:t>术评估</w:t>
      </w:r>
    </w:p>
    <w:tbl>
      <w:tblPr>
        <w:tblStyle w:val="33"/>
        <w:tblpPr w:leftFromText="180" w:rightFromText="180" w:vertAnchor="text" w:horzAnchor="page" w:tblpX="1358" w:tblpY="451"/>
        <w:tblOverlap w:val="never"/>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759"/>
        <w:gridCol w:w="6252"/>
        <w:gridCol w:w="743"/>
      </w:tblGrid>
      <w:tr w14:paraId="1CB3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E61184">
            <w:pPr>
              <w:widowControl/>
              <w:spacing w:line="360" w:lineRule="auto"/>
              <w:jc w:val="center"/>
              <w:rPr>
                <w:rFonts w:hint="eastAsia" w:ascii="宋体" w:hAnsi="宋体" w:eastAsia="宋体" w:cs="宋体"/>
                <w:color w:val="000000"/>
                <w:kern w:val="0"/>
                <w:sz w:val="21"/>
                <w:szCs w:val="21"/>
                <w:highlight w:val="none"/>
              </w:rPr>
            </w:pPr>
            <w:bookmarkStart w:id="309" w:name="EB6b2e05f244d844eab53af046ecb4a6fe"/>
            <w:r>
              <w:rPr>
                <w:rFonts w:hint="eastAsia" w:ascii="宋体" w:hAnsi="宋体" w:eastAsia="宋体" w:cs="宋体"/>
                <w:color w:val="000000"/>
                <w:kern w:val="0"/>
                <w:sz w:val="21"/>
                <w:szCs w:val="21"/>
                <w:highlight w:val="none"/>
              </w:rPr>
              <w:t>序号</w:t>
            </w:r>
          </w:p>
        </w:tc>
        <w:tc>
          <w:tcPr>
            <w:tcW w:w="91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40D9E7">
            <w:pPr>
              <w:widowControl/>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评审因素</w:t>
            </w:r>
          </w:p>
        </w:tc>
        <w:tc>
          <w:tcPr>
            <w:tcW w:w="32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95A53B">
            <w:pPr>
              <w:widowControl/>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评审细则</w:t>
            </w:r>
          </w:p>
        </w:tc>
        <w:tc>
          <w:tcPr>
            <w:tcW w:w="3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F2B541">
            <w:pPr>
              <w:widowControl/>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分值</w:t>
            </w:r>
          </w:p>
        </w:tc>
      </w:tr>
      <w:tr w14:paraId="4C50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1"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F81DA3">
            <w:pPr>
              <w:widowControl/>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bidi="ar-SA"/>
              </w:rPr>
              <w:t>技术方案评价</w:t>
            </w:r>
          </w:p>
        </w:tc>
        <w:tc>
          <w:tcPr>
            <w:tcW w:w="3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EE430E">
            <w:pPr>
              <w:widowControl/>
              <w:spacing w:line="360" w:lineRule="auto"/>
              <w:jc w:val="center"/>
              <w:rPr>
                <w:rFonts w:hint="default" w:ascii="宋体" w:hAnsi="宋体" w:eastAsia="宋体" w:cs="宋体"/>
                <w:color w:val="000000"/>
                <w:kern w:val="0"/>
                <w:sz w:val="21"/>
                <w:szCs w:val="21"/>
                <w:highlight w:val="none"/>
                <w:lang w:val="en-US" w:eastAsia="zh-CN"/>
              </w:rPr>
            </w:pPr>
            <w:r>
              <w:rPr>
                <w:rFonts w:hint="eastAsia" w:cs="宋体"/>
                <w:color w:val="000000"/>
                <w:kern w:val="0"/>
                <w:sz w:val="21"/>
                <w:szCs w:val="21"/>
                <w:highlight w:val="none"/>
                <w:lang w:val="en-US" w:eastAsia="zh-CN"/>
              </w:rPr>
              <w:t>51</w:t>
            </w:r>
          </w:p>
        </w:tc>
      </w:tr>
      <w:tr w14:paraId="481F2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FFD0EB">
            <w:pPr>
              <w:widowControl/>
              <w:spacing w:line="360" w:lineRule="auto"/>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1.1</w:t>
            </w:r>
          </w:p>
        </w:tc>
        <w:tc>
          <w:tcPr>
            <w:tcW w:w="91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A27D2B">
            <w:pPr>
              <w:pStyle w:val="264"/>
              <w:spacing w:line="360" w:lineRule="auto"/>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技术参数响应评价</w:t>
            </w:r>
          </w:p>
        </w:tc>
        <w:tc>
          <w:tcPr>
            <w:tcW w:w="32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588913">
            <w:pPr>
              <w:pStyle w:val="264"/>
              <w:numPr>
                <w:ilvl w:val="0"/>
                <w:numId w:val="0"/>
              </w:numPr>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根据</w:t>
            </w:r>
            <w:r>
              <w:rPr>
                <w:rFonts w:hint="eastAsia" w:ascii="宋体" w:hAnsi="宋体" w:eastAsia="宋体" w:cs="宋体"/>
                <w:color w:val="000000"/>
                <w:sz w:val="21"/>
                <w:szCs w:val="21"/>
                <w:highlight w:val="none"/>
                <w:lang w:val="en-US" w:eastAsia="zh-CN"/>
              </w:rPr>
              <w:t>磋商文件采购需求中的技术及服务要求，对供应商的响应情况进行评审，完全满足磋商文件要求的，得6分。</w:t>
            </w:r>
          </w:p>
          <w:p w14:paraId="20077CB4">
            <w:pPr>
              <w:pStyle w:val="264"/>
              <w:numPr>
                <w:ilvl w:val="0"/>
                <w:numId w:val="0"/>
              </w:numPr>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（1）标“▲”的内容如有负偏离，每有一项扣1分。</w:t>
            </w:r>
          </w:p>
          <w:p w14:paraId="0EC4A12E">
            <w:pPr>
              <w:pStyle w:val="264"/>
              <w:numPr>
                <w:ilvl w:val="0"/>
                <w:numId w:val="0"/>
              </w:numPr>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注：磋商</w:t>
            </w:r>
            <w:r>
              <w:rPr>
                <w:rFonts w:hint="eastAsia" w:ascii="宋体" w:hAnsi="宋体" w:eastAsia="宋体" w:cs="宋体"/>
                <w:color w:val="000000"/>
                <w:sz w:val="21"/>
                <w:szCs w:val="21"/>
                <w:highlight w:val="none"/>
              </w:rPr>
              <w:t>文件中要求</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提供</w:t>
            </w:r>
            <w:r>
              <w:rPr>
                <w:rFonts w:hint="eastAsia" w:ascii="宋体" w:hAnsi="宋体" w:eastAsia="宋体" w:cs="宋体"/>
                <w:color w:val="000000"/>
                <w:sz w:val="21"/>
                <w:szCs w:val="21"/>
                <w:highlight w:val="none"/>
                <w:lang w:val="en-US" w:eastAsia="zh-CN"/>
              </w:rPr>
              <w:t>的</w:t>
            </w:r>
            <w:r>
              <w:rPr>
                <w:rFonts w:hint="eastAsia" w:ascii="宋体" w:hAnsi="宋体" w:eastAsia="宋体" w:cs="宋体"/>
                <w:color w:val="000000"/>
                <w:sz w:val="21"/>
                <w:szCs w:val="21"/>
                <w:highlight w:val="none"/>
              </w:rPr>
              <w:t>佐证材料</w:t>
            </w:r>
            <w:r>
              <w:rPr>
                <w:rFonts w:hint="eastAsia" w:ascii="宋体" w:hAnsi="宋体" w:eastAsia="宋体" w:cs="宋体"/>
                <w:color w:val="000000"/>
                <w:sz w:val="21"/>
                <w:szCs w:val="21"/>
                <w:highlight w:val="none"/>
                <w:lang w:val="en-US" w:eastAsia="zh-CN"/>
              </w:rPr>
              <w:t>的，</w:t>
            </w:r>
            <w:r>
              <w:rPr>
                <w:rFonts w:hint="eastAsia" w:ascii="宋体" w:hAnsi="宋体" w:eastAsia="宋体" w:cs="宋体"/>
                <w:color w:val="000000"/>
                <w:sz w:val="21"/>
                <w:szCs w:val="21"/>
                <w:highlight w:val="none"/>
              </w:rPr>
              <w:t>须是该项规定的证明材料且经评委审核证明材料有效，视为满足</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未提供有效证明材料或证明材料中内容与所填报指标不一致的，该指标按不满足处理。</w:t>
            </w:r>
          </w:p>
        </w:tc>
        <w:tc>
          <w:tcPr>
            <w:tcW w:w="3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F95A5D">
            <w:pPr>
              <w:adjustRightInd w:val="0"/>
              <w:snapToGrid w:val="0"/>
              <w:spacing w:line="360" w:lineRule="auto"/>
              <w:jc w:val="center"/>
              <w:rPr>
                <w:rFonts w:hint="default" w:ascii="宋体" w:hAnsi="宋体" w:eastAsia="宋体" w:cs="宋体"/>
                <w:bCs/>
                <w:color w:val="000000"/>
                <w:kern w:val="0"/>
                <w:sz w:val="21"/>
                <w:szCs w:val="21"/>
                <w:highlight w:val="none"/>
                <w:lang w:val="en-US" w:eastAsia="zh-CN"/>
              </w:rPr>
            </w:pPr>
            <w:r>
              <w:rPr>
                <w:rFonts w:hint="eastAsia" w:cs="宋体"/>
                <w:color w:val="000000"/>
                <w:kern w:val="0"/>
                <w:sz w:val="21"/>
                <w:szCs w:val="21"/>
                <w:highlight w:val="none"/>
                <w:lang w:val="en-US" w:eastAsia="zh-CN" w:bidi="ar-SA"/>
              </w:rPr>
              <w:t>6</w:t>
            </w:r>
          </w:p>
        </w:tc>
      </w:tr>
      <w:tr w14:paraId="60956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EE360C">
            <w:pPr>
              <w:widowControl/>
              <w:spacing w:line="360" w:lineRule="auto"/>
              <w:jc w:val="center"/>
              <w:rPr>
                <w:rFonts w:hint="default" w:cs="宋体"/>
                <w:color w:val="000000"/>
                <w:kern w:val="0"/>
                <w:sz w:val="21"/>
                <w:szCs w:val="21"/>
                <w:highlight w:val="none"/>
                <w:lang w:val="en-US" w:eastAsia="zh-CN" w:bidi="ar-SA"/>
              </w:rPr>
            </w:pPr>
            <w:r>
              <w:rPr>
                <w:rFonts w:hint="eastAsia" w:cs="宋体"/>
                <w:color w:val="000000"/>
                <w:kern w:val="0"/>
                <w:sz w:val="21"/>
                <w:szCs w:val="21"/>
                <w:highlight w:val="none"/>
                <w:lang w:val="en-US" w:eastAsia="zh-CN" w:bidi="ar-SA"/>
              </w:rPr>
              <w:t>1.2</w:t>
            </w:r>
          </w:p>
        </w:tc>
        <w:tc>
          <w:tcPr>
            <w:tcW w:w="91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11FFA8">
            <w:pPr>
              <w:pStyle w:val="264"/>
              <w:spacing w:line="360" w:lineRule="auto"/>
              <w:jc w:val="center"/>
              <w:rPr>
                <w:rFonts w:hint="default"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服务方案</w:t>
            </w:r>
          </w:p>
        </w:tc>
        <w:tc>
          <w:tcPr>
            <w:tcW w:w="32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42CAD8">
            <w:pPr>
              <w:pStyle w:val="264"/>
              <w:numPr>
                <w:ilvl w:val="0"/>
                <w:numId w:val="0"/>
              </w:numPr>
              <w:spacing w:line="360" w:lineRule="auto"/>
              <w:jc w:val="left"/>
              <w:rPr>
                <w:rFonts w:hint="default" w:ascii="宋体" w:hAnsi="宋体" w:eastAsia="宋体" w:cs="宋体"/>
                <w:color w:val="000000"/>
                <w:sz w:val="21"/>
                <w:szCs w:val="21"/>
                <w:highlight w:val="none"/>
                <w:lang w:val="en-US" w:eastAsia="zh-CN"/>
              </w:rPr>
            </w:pPr>
            <w:r>
              <w:rPr>
                <w:rFonts w:ascii="宋体" w:hAnsi="宋体" w:eastAsia="宋体" w:cs="宋体"/>
                <w:sz w:val="21"/>
                <w:szCs w:val="21"/>
                <w:highlight w:val="none"/>
              </w:rPr>
              <w:t>包括但不限于</w:t>
            </w:r>
            <w:r>
              <w:rPr>
                <w:rStyle w:val="35"/>
                <w:rFonts w:hint="eastAsia" w:ascii="宋体" w:hAnsi="宋体" w:eastAsia="宋体" w:cs="宋体"/>
                <w:sz w:val="21"/>
                <w:szCs w:val="24"/>
                <w:highlight w:val="none"/>
                <w:lang w:val="en-US" w:eastAsia="zh-CN"/>
              </w:rPr>
              <w:t>①</w:t>
            </w:r>
            <w:r>
              <w:rPr>
                <w:rStyle w:val="35"/>
                <w:rFonts w:hint="eastAsia" w:ascii="宋体" w:hAnsi="宋体" w:eastAsia="宋体" w:cs="宋体"/>
                <w:sz w:val="21"/>
                <w:szCs w:val="24"/>
                <w:highlight w:val="none"/>
              </w:rPr>
              <w:t>用电现状分析</w:t>
            </w:r>
            <w:r>
              <w:rPr>
                <w:rStyle w:val="35"/>
                <w:rFonts w:hint="eastAsia" w:ascii="宋体" w:hAnsi="宋体" w:eastAsia="宋体" w:cs="宋体"/>
                <w:sz w:val="21"/>
                <w:szCs w:val="24"/>
                <w:highlight w:val="none"/>
                <w:lang w:eastAsia="zh-CN"/>
              </w:rPr>
              <w:t>；</w:t>
            </w:r>
            <w:r>
              <w:rPr>
                <w:rStyle w:val="35"/>
                <w:rFonts w:hint="eastAsia" w:ascii="宋体" w:hAnsi="宋体" w:eastAsia="宋体" w:cs="宋体"/>
                <w:sz w:val="21"/>
                <w:szCs w:val="24"/>
                <w:highlight w:val="none"/>
                <w:lang w:val="en-US" w:eastAsia="zh-CN"/>
              </w:rPr>
              <w:t>②</w:t>
            </w:r>
            <w:r>
              <w:rPr>
                <w:rStyle w:val="35"/>
                <w:rFonts w:hint="eastAsia" w:ascii="宋体" w:hAnsi="宋体" w:eastAsia="宋体" w:cs="宋体"/>
                <w:sz w:val="21"/>
                <w:szCs w:val="24"/>
                <w:highlight w:val="none"/>
              </w:rPr>
              <w:t>用电节能建议</w:t>
            </w:r>
            <w:r>
              <w:rPr>
                <w:rStyle w:val="35"/>
                <w:rFonts w:hint="eastAsia" w:ascii="宋体" w:hAnsi="宋体" w:eastAsia="宋体" w:cs="宋体"/>
                <w:sz w:val="21"/>
                <w:szCs w:val="24"/>
                <w:highlight w:val="none"/>
                <w:lang w:eastAsia="zh-CN"/>
              </w:rPr>
              <w:t>；</w:t>
            </w:r>
            <w:r>
              <w:rPr>
                <w:rStyle w:val="35"/>
                <w:rFonts w:hint="eastAsia" w:ascii="宋体" w:hAnsi="宋体" w:eastAsia="宋体" w:cs="宋体"/>
                <w:sz w:val="21"/>
                <w:szCs w:val="24"/>
                <w:highlight w:val="none"/>
                <w:lang w:val="en-US" w:eastAsia="zh-CN"/>
              </w:rPr>
              <w:t>③</w:t>
            </w:r>
            <w:r>
              <w:rPr>
                <w:rStyle w:val="35"/>
                <w:rFonts w:hint="eastAsia" w:ascii="宋体" w:hAnsi="宋体" w:eastAsia="宋体" w:cs="宋体"/>
                <w:sz w:val="21"/>
                <w:szCs w:val="24"/>
                <w:highlight w:val="none"/>
              </w:rPr>
              <w:t>现场值守方案</w:t>
            </w:r>
            <w:r>
              <w:rPr>
                <w:rStyle w:val="35"/>
                <w:rFonts w:hint="eastAsia" w:ascii="宋体" w:hAnsi="宋体" w:eastAsia="宋体" w:cs="宋体"/>
                <w:sz w:val="21"/>
                <w:szCs w:val="24"/>
                <w:highlight w:val="none"/>
                <w:lang w:eastAsia="zh-CN"/>
              </w:rPr>
              <w:t>；</w:t>
            </w:r>
            <w:r>
              <w:rPr>
                <w:rStyle w:val="35"/>
                <w:rFonts w:hint="eastAsia" w:ascii="宋体" w:hAnsi="宋体" w:eastAsia="宋体" w:cs="宋体"/>
                <w:sz w:val="21"/>
                <w:szCs w:val="24"/>
                <w:highlight w:val="none"/>
                <w:lang w:val="en-US" w:eastAsia="zh-CN"/>
              </w:rPr>
              <w:t>④</w:t>
            </w:r>
            <w:r>
              <w:rPr>
                <w:rStyle w:val="35"/>
                <w:rFonts w:hint="eastAsia" w:ascii="宋体" w:hAnsi="宋体" w:eastAsia="宋体" w:cs="宋体"/>
                <w:sz w:val="21"/>
                <w:szCs w:val="24"/>
                <w:highlight w:val="none"/>
              </w:rPr>
              <w:t>智能运维管理服务</w:t>
            </w:r>
            <w:r>
              <w:rPr>
                <w:rStyle w:val="35"/>
                <w:rFonts w:hint="eastAsia" w:ascii="宋体" w:hAnsi="宋体" w:eastAsia="宋体" w:cs="宋体"/>
                <w:sz w:val="21"/>
                <w:szCs w:val="24"/>
                <w:highlight w:val="none"/>
                <w:lang w:eastAsia="zh-CN"/>
              </w:rPr>
              <w:t>；</w:t>
            </w:r>
            <w:r>
              <w:rPr>
                <w:rStyle w:val="35"/>
                <w:rFonts w:hint="eastAsia" w:ascii="宋体" w:hAnsi="宋体" w:eastAsia="宋体" w:cs="宋体"/>
                <w:sz w:val="21"/>
                <w:szCs w:val="24"/>
                <w:highlight w:val="none"/>
                <w:lang w:val="en-US" w:eastAsia="zh-CN"/>
              </w:rPr>
              <w:t>⑤</w:t>
            </w:r>
            <w:r>
              <w:rPr>
                <w:rStyle w:val="35"/>
                <w:rFonts w:hint="eastAsia" w:ascii="宋体" w:hAnsi="宋体" w:eastAsia="宋体" w:cs="宋体"/>
                <w:sz w:val="21"/>
                <w:szCs w:val="24"/>
                <w:highlight w:val="none"/>
              </w:rPr>
              <w:t>故障数据远程检测</w:t>
            </w:r>
            <w:r>
              <w:rPr>
                <w:rStyle w:val="35"/>
                <w:rFonts w:hint="eastAsia" w:ascii="宋体" w:hAnsi="宋体" w:eastAsia="宋体" w:cs="宋体"/>
                <w:sz w:val="21"/>
                <w:szCs w:val="24"/>
                <w:highlight w:val="none"/>
                <w:lang w:eastAsia="zh-CN"/>
              </w:rPr>
              <w:t>；</w:t>
            </w:r>
            <w:r>
              <w:rPr>
                <w:rStyle w:val="35"/>
                <w:rFonts w:hint="eastAsia" w:ascii="宋体" w:hAnsi="宋体" w:eastAsia="宋体" w:cs="宋体"/>
                <w:sz w:val="21"/>
                <w:szCs w:val="24"/>
                <w:highlight w:val="none"/>
                <w:lang w:val="en-US" w:eastAsia="zh-CN"/>
              </w:rPr>
              <w:t>⑥</w:t>
            </w:r>
            <w:r>
              <w:rPr>
                <w:rStyle w:val="35"/>
                <w:rFonts w:hint="eastAsia" w:ascii="宋体" w:hAnsi="宋体" w:eastAsia="宋体" w:cs="宋体"/>
                <w:sz w:val="21"/>
                <w:szCs w:val="24"/>
                <w:highlight w:val="none"/>
              </w:rPr>
              <w:t>服务专业性</w:t>
            </w:r>
            <w:r>
              <w:rPr>
                <w:rStyle w:val="35"/>
                <w:rFonts w:hint="eastAsia" w:ascii="宋体" w:hAnsi="宋体" w:eastAsia="宋体" w:cs="宋体"/>
                <w:sz w:val="21"/>
                <w:szCs w:val="24"/>
                <w:highlight w:val="none"/>
                <w:lang w:eastAsia="zh-CN"/>
              </w:rPr>
              <w:t>；</w:t>
            </w:r>
            <w:r>
              <w:rPr>
                <w:rStyle w:val="35"/>
                <w:rFonts w:hint="eastAsia" w:ascii="宋体" w:hAnsi="宋体" w:eastAsia="宋体" w:cs="宋体"/>
                <w:sz w:val="21"/>
                <w:szCs w:val="24"/>
                <w:highlight w:val="none"/>
                <w:lang w:val="en-US" w:eastAsia="zh-CN"/>
              </w:rPr>
              <w:t>⑦</w:t>
            </w:r>
            <w:r>
              <w:rPr>
                <w:rStyle w:val="35"/>
                <w:rFonts w:hint="eastAsia" w:ascii="宋体" w:hAnsi="宋体" w:eastAsia="宋体" w:cs="宋体"/>
                <w:sz w:val="21"/>
                <w:szCs w:val="24"/>
                <w:highlight w:val="none"/>
              </w:rPr>
              <w:t>应急处理预案</w:t>
            </w:r>
            <w:r>
              <w:rPr>
                <w:rStyle w:val="35"/>
                <w:rFonts w:hint="eastAsia" w:ascii="宋体" w:hAnsi="宋体" w:eastAsia="宋体" w:cs="宋体"/>
                <w:sz w:val="21"/>
                <w:szCs w:val="24"/>
                <w:highlight w:val="none"/>
                <w:lang w:eastAsia="zh-CN"/>
              </w:rPr>
              <w:t>；</w:t>
            </w:r>
            <w:r>
              <w:rPr>
                <w:rStyle w:val="35"/>
                <w:rFonts w:hint="eastAsia" w:ascii="宋体" w:hAnsi="宋体" w:eastAsia="宋体" w:cs="宋体"/>
                <w:sz w:val="21"/>
                <w:szCs w:val="24"/>
                <w:highlight w:val="none"/>
                <w:lang w:val="en-US" w:eastAsia="zh-CN"/>
              </w:rPr>
              <w:t>⑧</w:t>
            </w:r>
            <w:r>
              <w:rPr>
                <w:rStyle w:val="35"/>
                <w:rFonts w:hint="eastAsia" w:ascii="宋体" w:hAnsi="宋体" w:eastAsia="宋体" w:cs="宋体"/>
                <w:sz w:val="21"/>
                <w:szCs w:val="24"/>
                <w:highlight w:val="none"/>
              </w:rPr>
              <w:t>现场抢修方案</w:t>
            </w:r>
            <w:r>
              <w:rPr>
                <w:rStyle w:val="35"/>
                <w:rFonts w:hint="eastAsia" w:ascii="宋体" w:hAnsi="宋体" w:eastAsia="宋体" w:cs="宋体"/>
                <w:sz w:val="21"/>
                <w:szCs w:val="24"/>
                <w:highlight w:val="none"/>
                <w:lang w:eastAsia="zh-CN"/>
              </w:rPr>
              <w:t>；</w:t>
            </w:r>
            <w:r>
              <w:rPr>
                <w:rStyle w:val="35"/>
                <w:rFonts w:hint="eastAsia" w:ascii="宋体" w:hAnsi="宋体" w:eastAsia="宋体" w:cs="宋体"/>
                <w:sz w:val="21"/>
                <w:szCs w:val="24"/>
                <w:highlight w:val="none"/>
                <w:lang w:val="en-US" w:eastAsia="zh-CN"/>
              </w:rPr>
              <w:t>⑨</w:t>
            </w:r>
            <w:r>
              <w:rPr>
                <w:rStyle w:val="35"/>
                <w:rFonts w:hint="eastAsia" w:ascii="宋体" w:hAnsi="宋体" w:eastAsia="宋体" w:cs="宋体"/>
                <w:sz w:val="21"/>
                <w:szCs w:val="24"/>
                <w:highlight w:val="none"/>
              </w:rPr>
              <w:t>数据保密及安全性</w:t>
            </w:r>
            <w:r>
              <w:rPr>
                <w:rFonts w:ascii="宋体" w:hAnsi="宋体" w:eastAsia="宋体" w:cs="宋体"/>
                <w:sz w:val="21"/>
                <w:szCs w:val="21"/>
                <w:highlight w:val="none"/>
              </w:rPr>
              <w:t>，</w:t>
            </w:r>
            <w:r>
              <w:rPr>
                <w:rStyle w:val="35"/>
                <w:rFonts w:hint="eastAsia" w:ascii="宋体" w:hAnsi="宋体" w:eastAsia="宋体" w:cs="宋体"/>
                <w:sz w:val="21"/>
                <w:szCs w:val="24"/>
                <w:highlight w:val="none"/>
                <w:lang w:val="en-US" w:eastAsia="zh-CN"/>
              </w:rPr>
              <w:t>方案完全包含上述要点的，得11分，有缺项或未提供方案的不得分；方案针对性强、可操性强的每项加2分，最高加18分。本项最高得29分。</w:t>
            </w:r>
          </w:p>
        </w:tc>
        <w:tc>
          <w:tcPr>
            <w:tcW w:w="3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005710">
            <w:pPr>
              <w:adjustRightInd w:val="0"/>
              <w:snapToGrid w:val="0"/>
              <w:spacing w:line="360" w:lineRule="auto"/>
              <w:jc w:val="center"/>
              <w:rPr>
                <w:rFonts w:hint="default" w:cs="宋体"/>
                <w:color w:val="000000"/>
                <w:kern w:val="0"/>
                <w:sz w:val="21"/>
                <w:szCs w:val="21"/>
                <w:highlight w:val="none"/>
                <w:lang w:val="en-US" w:eastAsia="zh-CN" w:bidi="ar-SA"/>
              </w:rPr>
            </w:pPr>
            <w:r>
              <w:rPr>
                <w:rFonts w:hint="eastAsia" w:cs="宋体"/>
                <w:color w:val="000000"/>
                <w:kern w:val="0"/>
                <w:sz w:val="21"/>
                <w:szCs w:val="21"/>
                <w:highlight w:val="none"/>
                <w:lang w:val="en-US" w:eastAsia="zh-CN" w:bidi="ar-SA"/>
              </w:rPr>
              <w:t>29</w:t>
            </w:r>
          </w:p>
        </w:tc>
      </w:tr>
      <w:tr w14:paraId="5288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trPr>
        <w:tc>
          <w:tcPr>
            <w:tcW w:w="42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5715F7">
            <w:pPr>
              <w:widowControl/>
              <w:spacing w:line="360" w:lineRule="auto"/>
              <w:jc w:val="center"/>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1.</w:t>
            </w:r>
            <w:r>
              <w:rPr>
                <w:rFonts w:hint="eastAsia" w:cs="宋体"/>
                <w:color w:val="000000"/>
                <w:kern w:val="0"/>
                <w:sz w:val="21"/>
                <w:szCs w:val="21"/>
                <w:highlight w:val="none"/>
                <w:lang w:val="en-US" w:eastAsia="zh-CN"/>
              </w:rPr>
              <w:t>3</w:t>
            </w:r>
          </w:p>
        </w:tc>
        <w:tc>
          <w:tcPr>
            <w:tcW w:w="919" w:type="pct"/>
            <w:tcBorders>
              <w:top w:val="single" w:color="000000" w:sz="2" w:space="0"/>
              <w:left w:val="single" w:color="000000" w:sz="2" w:space="0"/>
              <w:right w:val="single" w:color="000000" w:sz="2" w:space="0"/>
            </w:tcBorders>
            <w:noWrap w:val="0"/>
            <w:tcMar>
              <w:top w:w="100" w:type="dxa"/>
              <w:bottom w:w="100" w:type="dxa"/>
            </w:tcMar>
            <w:vAlign w:val="center"/>
          </w:tcPr>
          <w:p w14:paraId="10B45431">
            <w:pPr>
              <w:pStyle w:val="264"/>
              <w:spacing w:line="360" w:lineRule="auto"/>
              <w:jc w:val="center"/>
              <w:rPr>
                <w:rFonts w:hint="eastAsia" w:ascii="宋体" w:hAnsi="宋体" w:eastAsia="宋体" w:cs="宋体"/>
                <w:color w:val="000000"/>
                <w:sz w:val="21"/>
                <w:szCs w:val="21"/>
                <w:highlight w:val="none"/>
              </w:rPr>
            </w:pPr>
            <w:r>
              <w:rPr>
                <w:rFonts w:ascii="宋体" w:hAnsi="宋体" w:eastAsia="宋体" w:cs="宋体"/>
                <w:sz w:val="21"/>
                <w:szCs w:val="21"/>
                <w:highlight w:val="none"/>
              </w:rPr>
              <w:t>智能运维管理系统方案展示及演示</w:t>
            </w:r>
          </w:p>
        </w:tc>
        <w:tc>
          <w:tcPr>
            <w:tcW w:w="326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6F13AB">
            <w:pPr>
              <w:pStyle w:val="264"/>
              <w:spacing w:line="360" w:lineRule="auto"/>
              <w:ind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本项目演示采用录播视频上传形式，演示时间不超过</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lang w:eastAsia="zh-CN"/>
              </w:rPr>
              <w:t>分钟。不接受 PPT等非真实系统形式演示。各投标人自行将录播内容上传至“苏采云”系统的演示视频模块。视频以压缩形式进行上传，单个视频上限50M，整体上限300M。演示内容如下：</w:t>
            </w:r>
          </w:p>
          <w:p w14:paraId="2824A7CE">
            <w:pPr>
              <w:pStyle w:val="264"/>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1.站点展示大屏（可显示接入用户数量、用户概览分类、服务人员及车辆数据、告警概要分类、安全用电评估概览、网格化区域服务、重点监管排名、实时告警列表），全部满足的，得2分，有缺项不得分；</w:t>
            </w:r>
          </w:p>
          <w:p w14:paraId="01449F88">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2.自定义站点看板（可实现各类用能情况、数据分析；站点看板内容可根据用户需求任意编辑），全部满足的，得2分，有缺项不得分；</w:t>
            </w:r>
          </w:p>
          <w:p w14:paraId="7A082791">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3.设备实时监控（包括：电压、电流、功率、电度、需量功能）全部满足的，得2分，有缺项不得分；</w:t>
            </w:r>
          </w:p>
          <w:p w14:paraId="712AC954">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4.节能节费诊断分析（包括：变压器效率、三相电平衡、谐波影响、功率因数优化、电压降低、基础电费及电度电费方面的节能分析，旨在实现费用节约）全部满足的，得2分，有缺项不得分；</w:t>
            </w:r>
          </w:p>
          <w:p w14:paraId="784463BA">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5.变压器监测（可对变压器进行专项监测，包含：负载、负载率、需量、电流、电压、功率因数、额定容量功能，并以曲线图展示）全部满足的，得2分，有缺项不得分；</w:t>
            </w:r>
          </w:p>
          <w:p w14:paraId="5A5DA990">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6.视频监控（可实现配电房视频在线监控功能）全部满足的，得 2分，有缺项不得分；</w:t>
            </w:r>
          </w:p>
          <w:p w14:paraId="7E1E75F5">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7.一次图在线编辑（可实现对电气一次图进行在线编辑并绑定各个变量，无需使用其他第三方软件）全部满足的，得2分，有缺项不得分；</w:t>
            </w:r>
          </w:p>
          <w:p w14:paraId="7A78699E">
            <w:pPr>
              <w:pStyle w:val="264"/>
              <w:spacing w:line="360" w:lineRule="auto"/>
              <w:ind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8.三维监控（可对配电房现场进行3D建模展示，并显示各类用电参数）全部满足的，得2分，有缺项不得分。</w:t>
            </w:r>
          </w:p>
        </w:tc>
        <w:tc>
          <w:tcPr>
            <w:tcW w:w="3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80423A">
            <w:pPr>
              <w:adjustRightInd w:val="0"/>
              <w:snapToGrid w:val="0"/>
              <w:spacing w:line="360" w:lineRule="auto"/>
              <w:jc w:val="center"/>
              <w:rPr>
                <w:rFonts w:hint="default" w:ascii="宋体" w:hAnsi="宋体" w:eastAsia="宋体" w:cs="宋体"/>
                <w:color w:val="000000"/>
                <w:kern w:val="0"/>
                <w:sz w:val="21"/>
                <w:szCs w:val="21"/>
                <w:highlight w:val="none"/>
                <w:lang w:val="en-US" w:eastAsia="zh-CN" w:bidi="ar-SA"/>
              </w:rPr>
            </w:pPr>
            <w:r>
              <w:rPr>
                <w:rFonts w:hint="eastAsia" w:cs="宋体"/>
                <w:color w:val="000000"/>
                <w:kern w:val="0"/>
                <w:sz w:val="21"/>
                <w:szCs w:val="21"/>
                <w:highlight w:val="none"/>
                <w:lang w:val="en-US" w:eastAsia="zh-CN" w:bidi="ar-SA"/>
              </w:rPr>
              <w:t>16</w:t>
            </w:r>
          </w:p>
        </w:tc>
      </w:tr>
    </w:tbl>
    <w:p w14:paraId="2E6F4106">
      <w:pPr>
        <w:spacing w:line="360" w:lineRule="auto"/>
        <w:rPr>
          <w:rFonts w:hint="eastAsia"/>
          <w:color w:val="000000"/>
          <w:sz w:val="20"/>
          <w:highlight w:val="none"/>
        </w:rPr>
      </w:pPr>
      <w:r>
        <w:rPr>
          <w:rFonts w:hint="eastAsia"/>
          <w:color w:val="000000"/>
          <w:sz w:val="20"/>
          <w:highlight w:val="none"/>
        </w:rPr>
        <w:t xml:space="preserve"> </w:t>
      </w:r>
      <w:bookmarkEnd w:id="309"/>
    </w:p>
    <w:p w14:paraId="12DB667D">
      <w:pPr>
        <w:widowControl/>
        <w:numPr>
          <w:ilvl w:val="0"/>
          <w:numId w:val="0"/>
        </w:numPr>
        <w:spacing w:line="360" w:lineRule="auto"/>
        <w:jc w:val="left"/>
        <w:rPr>
          <w:rFonts w:hint="eastAsia" w:ascii="宋体" w:hAnsi="宋体"/>
          <w:b/>
          <w:color w:val="000000"/>
          <w:sz w:val="24"/>
          <w:highlight w:val="none"/>
        </w:rPr>
      </w:pPr>
      <w:r>
        <w:rPr>
          <w:rFonts w:hint="eastAsia"/>
          <w:b/>
          <w:color w:val="000000"/>
          <w:sz w:val="24"/>
          <w:highlight w:val="none"/>
          <w:lang w:eastAsia="zh-CN"/>
        </w:rPr>
        <w:t>（</w:t>
      </w:r>
      <w:r>
        <w:rPr>
          <w:rFonts w:hint="eastAsia"/>
          <w:b/>
          <w:color w:val="000000"/>
          <w:sz w:val="24"/>
          <w:highlight w:val="none"/>
          <w:lang w:val="en-US" w:eastAsia="zh-CN"/>
        </w:rPr>
        <w:t>二</w:t>
      </w:r>
      <w:r>
        <w:rPr>
          <w:rFonts w:hint="eastAsia"/>
          <w:b/>
          <w:color w:val="000000"/>
          <w:sz w:val="24"/>
          <w:highlight w:val="none"/>
          <w:lang w:eastAsia="zh-CN"/>
        </w:rPr>
        <w:t>）</w:t>
      </w:r>
      <w:r>
        <w:rPr>
          <w:rFonts w:hint="eastAsia" w:ascii="宋体" w:hAnsi="宋体"/>
          <w:b/>
          <w:color w:val="000000"/>
          <w:sz w:val="24"/>
          <w:highlight w:val="none"/>
        </w:rPr>
        <w:t>商务评估</w:t>
      </w:r>
    </w:p>
    <w:tbl>
      <w:tblPr>
        <w:tblStyle w:val="33"/>
        <w:tblW w:w="4992" w:type="pct"/>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784"/>
        <w:gridCol w:w="6219"/>
        <w:gridCol w:w="756"/>
      </w:tblGrid>
      <w:tr w14:paraId="418D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005069">
            <w:pPr>
              <w:widowControl/>
              <w:spacing w:line="360" w:lineRule="auto"/>
              <w:jc w:val="center"/>
              <w:rPr>
                <w:rFonts w:hint="eastAsia" w:ascii="宋体" w:hAnsi="宋体" w:eastAsia="宋体" w:cs="宋体"/>
                <w:color w:val="000000"/>
                <w:kern w:val="0"/>
                <w:sz w:val="21"/>
                <w:szCs w:val="21"/>
                <w:highlight w:val="none"/>
              </w:rPr>
            </w:pPr>
            <w:bookmarkStart w:id="310" w:name="EBcc36ae01fb994a918da451ccb0f74e57"/>
            <w:r>
              <w:rPr>
                <w:rFonts w:hint="eastAsia" w:ascii="宋体" w:hAnsi="宋体" w:eastAsia="宋体" w:cs="宋体"/>
                <w:color w:val="000000"/>
                <w:kern w:val="0"/>
                <w:sz w:val="21"/>
                <w:szCs w:val="21"/>
                <w:highlight w:val="none"/>
              </w:rPr>
              <w:t>序号</w:t>
            </w:r>
          </w:p>
        </w:tc>
        <w:tc>
          <w:tcPr>
            <w:tcW w:w="93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AA9763">
            <w:pPr>
              <w:widowControl/>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评审因素</w:t>
            </w:r>
          </w:p>
        </w:tc>
        <w:tc>
          <w:tcPr>
            <w:tcW w:w="32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38A036">
            <w:pPr>
              <w:widowControl/>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评审细则</w:t>
            </w:r>
          </w:p>
        </w:tc>
        <w:tc>
          <w:tcPr>
            <w:tcW w:w="39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8720DA">
            <w:pPr>
              <w:widowControl/>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分值</w:t>
            </w:r>
          </w:p>
        </w:tc>
      </w:tr>
      <w:tr w14:paraId="68F71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04"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8EC7CD">
            <w:pPr>
              <w:widowControl/>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履约能力评价</w:t>
            </w:r>
          </w:p>
        </w:tc>
        <w:tc>
          <w:tcPr>
            <w:tcW w:w="39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9A1005">
            <w:pPr>
              <w:widowControl/>
              <w:spacing w:line="360" w:lineRule="auto"/>
              <w:jc w:val="center"/>
              <w:rPr>
                <w:rFonts w:hint="eastAsia" w:ascii="宋体" w:hAnsi="宋体" w:eastAsia="宋体" w:cs="宋体"/>
                <w:color w:val="000000"/>
                <w:kern w:val="0"/>
                <w:sz w:val="21"/>
                <w:szCs w:val="21"/>
                <w:highlight w:val="none"/>
              </w:rPr>
            </w:pPr>
            <w:r>
              <w:rPr>
                <w:rFonts w:hint="eastAsia" w:cs="宋体"/>
                <w:color w:val="000000"/>
                <w:kern w:val="0"/>
                <w:sz w:val="21"/>
                <w:szCs w:val="21"/>
                <w:highlight w:val="none"/>
                <w:lang w:val="en-US" w:eastAsia="zh-CN"/>
              </w:rPr>
              <w:t>29</w:t>
            </w:r>
          </w:p>
        </w:tc>
      </w:tr>
      <w:tr w14:paraId="182D2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647019">
            <w:pPr>
              <w:widowControl/>
              <w:spacing w:line="36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rPr>
              <w:t>.1</w:t>
            </w:r>
          </w:p>
        </w:tc>
        <w:tc>
          <w:tcPr>
            <w:tcW w:w="93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276B7C">
            <w:pPr>
              <w:adjustRightInd w:val="0"/>
              <w:snapToGrid w:val="0"/>
              <w:spacing w:before="100" w:beforeAutospacing="1" w:after="100" w:afterAutospacing="1" w:line="360" w:lineRule="auto"/>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供应商综合实力</w:t>
            </w:r>
          </w:p>
        </w:tc>
        <w:tc>
          <w:tcPr>
            <w:tcW w:w="32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753AB8">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1.供应商具有有效的《商品售后服务认证证书》、《综合能源服务管理体系认证证书》，有1个得2分，最高得 4 分。</w:t>
            </w:r>
          </w:p>
          <w:p w14:paraId="7E73060E">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注：①提供以上证书原件扫描件。</w:t>
            </w:r>
          </w:p>
          <w:p w14:paraId="08A19287">
            <w:pPr>
              <w:pStyle w:val="264"/>
              <w:spacing w:line="360" w:lineRule="auto"/>
              <w:ind w:firstLine="420" w:firstLineChars="200"/>
              <w:rPr>
                <w:rFonts w:hint="eastAsia" w:ascii="宋体" w:hAnsi="宋体" w:eastAsia="宋体" w:cs="宋体"/>
                <w:color w:val="000000"/>
                <w:kern w:val="0"/>
                <w:sz w:val="21"/>
                <w:szCs w:val="21"/>
                <w:highlight w:val="none"/>
                <w:lang w:bidi="ar-SA"/>
              </w:rPr>
            </w:pPr>
            <w:r>
              <w:rPr>
                <w:rFonts w:hint="eastAsia" w:ascii="宋体" w:hAnsi="宋体" w:eastAsia="宋体" w:cs="宋体"/>
                <w:color w:val="000000"/>
                <w:sz w:val="21"/>
                <w:szCs w:val="21"/>
                <w:highlight w:val="none"/>
                <w:lang w:val="en-US" w:eastAsia="zh-CN"/>
              </w:rPr>
              <w:t>②上述证书需在“全国认证认可信息公共服务平台”中查询状态为“有效”，否则不予给分。</w:t>
            </w:r>
          </w:p>
        </w:tc>
        <w:tc>
          <w:tcPr>
            <w:tcW w:w="39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56B2BE">
            <w:pPr>
              <w:widowControl/>
              <w:spacing w:line="360" w:lineRule="auto"/>
              <w:jc w:val="center"/>
              <w:rPr>
                <w:rFonts w:hint="eastAsia" w:ascii="宋体" w:hAnsi="宋体" w:eastAsia="宋体" w:cs="宋体"/>
                <w:color w:val="000000"/>
                <w:kern w:val="0"/>
                <w:sz w:val="21"/>
                <w:szCs w:val="21"/>
                <w:highlight w:val="none"/>
                <w:lang w:val="en-US" w:eastAsia="zh-CN"/>
              </w:rPr>
            </w:pPr>
            <w:r>
              <w:rPr>
                <w:rFonts w:hint="eastAsia" w:cs="宋体"/>
                <w:color w:val="000000"/>
                <w:kern w:val="0"/>
                <w:sz w:val="21"/>
                <w:szCs w:val="21"/>
                <w:highlight w:val="none"/>
                <w:lang w:val="en-US" w:eastAsia="zh-CN"/>
              </w:rPr>
              <w:t>4</w:t>
            </w:r>
          </w:p>
        </w:tc>
      </w:tr>
      <w:tr w14:paraId="3DE5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3461B3">
            <w:pPr>
              <w:widowControl/>
              <w:spacing w:line="360" w:lineRule="auto"/>
              <w:jc w:val="center"/>
              <w:rPr>
                <w:rFonts w:hint="default" w:ascii="宋体" w:hAnsi="宋体" w:eastAsia="宋体" w:cs="宋体"/>
                <w:color w:val="000000"/>
                <w:kern w:val="0"/>
                <w:sz w:val="21"/>
                <w:szCs w:val="21"/>
                <w:highlight w:val="none"/>
                <w:lang w:val="en-US" w:eastAsia="zh-CN"/>
              </w:rPr>
            </w:pPr>
            <w:r>
              <w:rPr>
                <w:rFonts w:hint="eastAsia" w:cs="宋体"/>
                <w:color w:val="000000"/>
                <w:kern w:val="0"/>
                <w:sz w:val="21"/>
                <w:szCs w:val="21"/>
                <w:highlight w:val="none"/>
                <w:lang w:val="en-US" w:eastAsia="zh-CN"/>
              </w:rPr>
              <w:t>2.2</w:t>
            </w:r>
          </w:p>
        </w:tc>
        <w:tc>
          <w:tcPr>
            <w:tcW w:w="93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D4040D">
            <w:pPr>
              <w:adjustRightInd w:val="0"/>
              <w:snapToGrid w:val="0"/>
              <w:spacing w:before="100" w:beforeAutospacing="1" w:after="100" w:afterAutospacing="1" w:line="360" w:lineRule="auto"/>
              <w:jc w:val="center"/>
              <w:rPr>
                <w:rFonts w:hint="default" w:ascii="宋体" w:hAnsi="宋体" w:eastAsia="宋体" w:cs="宋体"/>
                <w:color w:val="000000"/>
                <w:kern w:val="0"/>
                <w:sz w:val="21"/>
                <w:szCs w:val="21"/>
                <w:highlight w:val="none"/>
                <w:lang w:val="en-US" w:eastAsia="zh-CN" w:bidi="ar-SA"/>
              </w:rPr>
            </w:pPr>
            <w:r>
              <w:rPr>
                <w:rFonts w:hint="eastAsia" w:cs="宋体"/>
                <w:color w:val="000000"/>
                <w:sz w:val="21"/>
                <w:szCs w:val="21"/>
                <w:highlight w:val="none"/>
                <w:lang w:val="en-US" w:eastAsia="zh-CN"/>
              </w:rPr>
              <w:t>项目</w:t>
            </w:r>
            <w:r>
              <w:rPr>
                <w:rFonts w:hint="eastAsia" w:ascii="宋体" w:hAnsi="宋体" w:eastAsia="宋体" w:cs="宋体"/>
                <w:color w:val="000000"/>
                <w:sz w:val="21"/>
                <w:szCs w:val="21"/>
                <w:highlight w:val="none"/>
                <w:lang w:val="en-US" w:eastAsia="zh-CN"/>
              </w:rPr>
              <w:t>负责人</w:t>
            </w:r>
            <w:r>
              <w:rPr>
                <w:rFonts w:hint="eastAsia" w:cs="宋体"/>
                <w:color w:val="000000"/>
                <w:kern w:val="0"/>
                <w:sz w:val="21"/>
                <w:szCs w:val="21"/>
                <w:highlight w:val="none"/>
                <w:lang w:val="en-US" w:eastAsia="zh-CN" w:bidi="ar-SA"/>
              </w:rPr>
              <w:t>评价</w:t>
            </w:r>
          </w:p>
        </w:tc>
        <w:tc>
          <w:tcPr>
            <w:tcW w:w="32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EEFE63">
            <w:pPr>
              <w:pStyle w:val="264"/>
              <w:spacing w:line="360" w:lineRule="auto"/>
              <w:ind w:firstLine="420" w:firstLineChars="20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供应商为本项目配备的项目负责人具有中级及以上职称（专业为电气）得2分；具有全日制大专及以上电力相关专业学历得2分。本项最高得4分。</w:t>
            </w:r>
          </w:p>
          <w:p w14:paraId="2CEFEB42">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注：1.须在投标文件中提供以上人员的职称证书、学历证书原件扫描件，且符合以上要求。</w:t>
            </w:r>
          </w:p>
          <w:p w14:paraId="724DF549">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2.须在投标文件中供应商为拟派团队人员缴纳的2025年10月的社保证明材料。</w:t>
            </w:r>
          </w:p>
          <w:p w14:paraId="59022A80">
            <w:pPr>
              <w:pStyle w:val="264"/>
              <w:spacing w:line="360" w:lineRule="auto"/>
              <w:ind w:firstLine="420" w:firstLineChars="20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3.未按以上要求提供不得分。</w:t>
            </w:r>
          </w:p>
        </w:tc>
        <w:tc>
          <w:tcPr>
            <w:tcW w:w="39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92E35F">
            <w:pPr>
              <w:widowControl/>
              <w:spacing w:line="360" w:lineRule="auto"/>
              <w:jc w:val="center"/>
              <w:rPr>
                <w:rFonts w:hint="eastAsia" w:ascii="宋体" w:hAnsi="宋体" w:eastAsia="宋体" w:cs="宋体"/>
                <w:color w:val="000000"/>
                <w:kern w:val="0"/>
                <w:sz w:val="21"/>
                <w:szCs w:val="21"/>
                <w:highlight w:val="none"/>
                <w:lang w:val="en-US" w:eastAsia="zh-CN"/>
              </w:rPr>
            </w:pPr>
            <w:r>
              <w:rPr>
                <w:rFonts w:hint="eastAsia" w:cs="宋体"/>
                <w:color w:val="000000"/>
                <w:kern w:val="0"/>
                <w:sz w:val="21"/>
                <w:szCs w:val="21"/>
                <w:highlight w:val="none"/>
                <w:lang w:val="en-US" w:eastAsia="zh-CN"/>
              </w:rPr>
              <w:t>4</w:t>
            </w:r>
          </w:p>
        </w:tc>
      </w:tr>
      <w:tr w14:paraId="17185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1AF3CB">
            <w:pPr>
              <w:widowControl/>
              <w:spacing w:line="360" w:lineRule="auto"/>
              <w:jc w:val="center"/>
              <w:rPr>
                <w:rFonts w:hint="default" w:cs="宋体"/>
                <w:color w:val="000000"/>
                <w:kern w:val="0"/>
                <w:sz w:val="21"/>
                <w:szCs w:val="21"/>
                <w:highlight w:val="none"/>
                <w:lang w:val="en-US" w:eastAsia="zh-CN"/>
              </w:rPr>
            </w:pPr>
            <w:r>
              <w:rPr>
                <w:rFonts w:hint="eastAsia" w:cs="宋体"/>
                <w:color w:val="000000"/>
                <w:kern w:val="0"/>
                <w:sz w:val="21"/>
                <w:szCs w:val="21"/>
                <w:highlight w:val="none"/>
                <w:lang w:val="en-US" w:eastAsia="zh-CN"/>
              </w:rPr>
              <w:t>2.3</w:t>
            </w:r>
          </w:p>
        </w:tc>
        <w:tc>
          <w:tcPr>
            <w:tcW w:w="93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DB4F16">
            <w:pPr>
              <w:pStyle w:val="264"/>
              <w:spacing w:line="360" w:lineRule="auto"/>
              <w:jc w:val="center"/>
              <w:rPr>
                <w:rFonts w:hint="default"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团队人员评价</w:t>
            </w:r>
          </w:p>
        </w:tc>
        <w:tc>
          <w:tcPr>
            <w:tcW w:w="32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1A30F61">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拟派团队人员具有物联网设备工程师、网络安全工程师，</w:t>
            </w:r>
            <w:r>
              <w:rPr>
                <w:rFonts w:hint="default" w:ascii="宋体" w:hAnsi="宋体" w:eastAsia="宋体" w:cs="宋体"/>
                <w:color w:val="000000"/>
                <w:sz w:val="21"/>
                <w:szCs w:val="21"/>
                <w:highlight w:val="none"/>
                <w:lang w:val="en-US" w:eastAsia="zh-CN"/>
              </w:rPr>
              <w:t>每提供1个得</w:t>
            </w:r>
            <w:r>
              <w:rPr>
                <w:rFonts w:hint="eastAsia" w:ascii="宋体" w:hAnsi="宋体" w:eastAsia="宋体" w:cs="宋体"/>
                <w:color w:val="000000"/>
                <w:sz w:val="21"/>
                <w:szCs w:val="21"/>
                <w:highlight w:val="none"/>
                <w:lang w:val="en-US" w:eastAsia="zh-CN"/>
              </w:rPr>
              <w:t>2</w:t>
            </w:r>
            <w:r>
              <w:rPr>
                <w:rFonts w:hint="default" w:ascii="宋体" w:hAnsi="宋体" w:eastAsia="宋体" w:cs="宋体"/>
                <w:color w:val="000000"/>
                <w:sz w:val="21"/>
                <w:szCs w:val="21"/>
                <w:highlight w:val="none"/>
                <w:lang w:val="en-US" w:eastAsia="zh-CN"/>
              </w:rPr>
              <w:t>分，</w:t>
            </w:r>
            <w:r>
              <w:rPr>
                <w:rFonts w:hint="eastAsia" w:ascii="宋体" w:hAnsi="宋体" w:eastAsia="宋体" w:cs="宋体"/>
                <w:color w:val="000000"/>
                <w:sz w:val="21"/>
                <w:szCs w:val="21"/>
                <w:highlight w:val="none"/>
                <w:lang w:val="en-US" w:eastAsia="zh-CN"/>
              </w:rPr>
              <w:t>满分4分。</w:t>
            </w:r>
          </w:p>
          <w:p w14:paraId="09A00372">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注：须同时提供证书原件扫描件、供应商为拟派团队人员缴纳的2025年10月的社保证明材料，未按要求提供不得分。</w:t>
            </w:r>
          </w:p>
        </w:tc>
        <w:tc>
          <w:tcPr>
            <w:tcW w:w="39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4D6B0B">
            <w:pPr>
              <w:widowControl/>
              <w:spacing w:line="360" w:lineRule="auto"/>
              <w:jc w:val="center"/>
              <w:rPr>
                <w:rFonts w:hint="default" w:cs="宋体"/>
                <w:color w:val="000000"/>
                <w:kern w:val="0"/>
                <w:sz w:val="21"/>
                <w:szCs w:val="21"/>
                <w:highlight w:val="none"/>
                <w:lang w:val="en-US" w:eastAsia="zh-CN"/>
              </w:rPr>
            </w:pPr>
            <w:r>
              <w:rPr>
                <w:rFonts w:hint="eastAsia" w:cs="宋体"/>
                <w:color w:val="000000"/>
                <w:kern w:val="0"/>
                <w:sz w:val="21"/>
                <w:szCs w:val="21"/>
                <w:highlight w:val="none"/>
                <w:lang w:val="en-US" w:eastAsia="zh-CN"/>
              </w:rPr>
              <w:t>4</w:t>
            </w:r>
          </w:p>
        </w:tc>
      </w:tr>
      <w:tr w14:paraId="73EC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62309E">
            <w:pPr>
              <w:widowControl/>
              <w:spacing w:line="360" w:lineRule="auto"/>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2.</w:t>
            </w:r>
            <w:r>
              <w:rPr>
                <w:rFonts w:hint="eastAsia" w:cs="宋体"/>
                <w:color w:val="000000"/>
                <w:kern w:val="0"/>
                <w:sz w:val="21"/>
                <w:szCs w:val="21"/>
                <w:highlight w:val="none"/>
                <w:lang w:val="en-US" w:eastAsia="zh-CN"/>
              </w:rPr>
              <w:t>4</w:t>
            </w:r>
          </w:p>
        </w:tc>
        <w:tc>
          <w:tcPr>
            <w:tcW w:w="93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9B91D6">
            <w:pPr>
              <w:adjustRightInd w:val="0"/>
              <w:snapToGrid w:val="0"/>
              <w:spacing w:before="100" w:beforeAutospacing="1" w:after="100" w:afterAutospacing="1" w:line="360" w:lineRule="auto"/>
              <w:jc w:val="center"/>
              <w:rPr>
                <w:rFonts w:hint="eastAsia" w:ascii="宋体" w:hAnsi="宋体" w:eastAsia="宋体" w:cs="宋体"/>
                <w:color w:val="000000"/>
                <w:kern w:val="0"/>
                <w:sz w:val="21"/>
                <w:szCs w:val="21"/>
                <w:highlight w:val="none"/>
                <w:lang w:val="en-US" w:eastAsia="zh-CN" w:bidi="ar-SA"/>
              </w:rPr>
            </w:pPr>
            <w:r>
              <w:rPr>
                <w:rFonts w:ascii="宋体" w:hAnsi="宋体" w:eastAsia="宋体" w:cs="宋体"/>
                <w:sz w:val="21"/>
                <w:szCs w:val="21"/>
                <w:highlight w:val="none"/>
              </w:rPr>
              <w:t>供应商业绩</w:t>
            </w:r>
          </w:p>
        </w:tc>
        <w:tc>
          <w:tcPr>
            <w:tcW w:w="32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5919BA">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供应商自2021年1月1日以来（以合同签订日期为准）实施的类似成功案例，有一份得3分，最高9分。</w:t>
            </w:r>
          </w:p>
          <w:p w14:paraId="7D1F53BC">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注：须同时提供①合同原件扫描件②发票③客户履约评价证明材料，客户履约评价材料需有客户的签字盖章，未按要求提供不得分。</w:t>
            </w:r>
          </w:p>
        </w:tc>
        <w:tc>
          <w:tcPr>
            <w:tcW w:w="39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BE7DEE">
            <w:pPr>
              <w:widowControl/>
              <w:spacing w:line="360" w:lineRule="auto"/>
              <w:jc w:val="center"/>
              <w:rPr>
                <w:rFonts w:hint="default" w:ascii="宋体" w:hAnsi="宋体" w:eastAsia="宋体" w:cs="宋体"/>
                <w:color w:val="000000"/>
                <w:kern w:val="0"/>
                <w:sz w:val="21"/>
                <w:szCs w:val="21"/>
                <w:highlight w:val="none"/>
                <w:lang w:val="en-US" w:eastAsia="zh-CN"/>
              </w:rPr>
            </w:pPr>
            <w:r>
              <w:rPr>
                <w:rFonts w:hint="eastAsia" w:cs="宋体"/>
                <w:color w:val="000000"/>
                <w:kern w:val="0"/>
                <w:sz w:val="21"/>
                <w:szCs w:val="21"/>
                <w:highlight w:val="none"/>
                <w:lang w:val="en-US" w:eastAsia="zh-CN"/>
              </w:rPr>
              <w:t>9</w:t>
            </w:r>
          </w:p>
        </w:tc>
      </w:tr>
      <w:tr w14:paraId="614D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974110">
            <w:pPr>
              <w:widowControl/>
              <w:spacing w:line="360" w:lineRule="auto"/>
              <w:jc w:val="center"/>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rPr>
              <w:t>.</w:t>
            </w:r>
            <w:r>
              <w:rPr>
                <w:rFonts w:hint="eastAsia" w:cs="宋体"/>
                <w:color w:val="000000"/>
                <w:kern w:val="0"/>
                <w:sz w:val="21"/>
                <w:szCs w:val="21"/>
                <w:highlight w:val="none"/>
                <w:lang w:val="en-US" w:eastAsia="zh-CN"/>
              </w:rPr>
              <w:t>5</w:t>
            </w:r>
          </w:p>
        </w:tc>
        <w:tc>
          <w:tcPr>
            <w:tcW w:w="93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67E664">
            <w:pPr>
              <w:pStyle w:val="328"/>
              <w:spacing w:before="70" w:line="268" w:lineRule="auto"/>
              <w:ind w:left="150" w:leftChars="0" w:right="147" w:rightChars="0"/>
              <w:jc w:val="center"/>
              <w:rPr>
                <w:rFonts w:hint="eastAsia" w:ascii="宋体" w:hAnsi="宋体" w:eastAsia="宋体" w:cs="宋体"/>
                <w:color w:val="000000"/>
                <w:kern w:val="0"/>
                <w:sz w:val="21"/>
                <w:szCs w:val="21"/>
                <w:highlight w:val="none"/>
                <w:lang w:val="en-US" w:eastAsia="zh-CN" w:bidi="ar-SA"/>
              </w:rPr>
            </w:pPr>
            <w:r>
              <w:rPr>
                <w:rFonts w:ascii="宋体" w:hAnsi="宋体" w:eastAsia="宋体" w:cs="宋体"/>
                <w:sz w:val="21"/>
                <w:szCs w:val="21"/>
                <w:highlight w:val="none"/>
              </w:rPr>
              <w:t>企业管理体系</w:t>
            </w:r>
          </w:p>
        </w:tc>
        <w:tc>
          <w:tcPr>
            <w:tcW w:w="32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top"/>
          </w:tcPr>
          <w:p w14:paraId="66BCDFE5">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供应商具有有效的质量管理体系认证证书、环境管理体系认证证书、职业安全健康管理体系认证证书，有一项得1分，最高得3分。</w:t>
            </w:r>
          </w:p>
          <w:p w14:paraId="66629E5C">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注：①提供以上证书原件扫描件。</w:t>
            </w:r>
          </w:p>
          <w:p w14:paraId="2174CE4B">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②上述证书需在“全国认证认可信息公共服务平台”中查询状态为“有效”，否则不予给分。</w:t>
            </w:r>
          </w:p>
        </w:tc>
        <w:tc>
          <w:tcPr>
            <w:tcW w:w="39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BA38E0">
            <w:pPr>
              <w:numPr>
                <w:ilvl w:val="0"/>
                <w:numId w:val="0"/>
              </w:numPr>
              <w:adjustRightInd w:val="0"/>
              <w:snapToGrid w:val="0"/>
              <w:spacing w:line="360" w:lineRule="auto"/>
              <w:jc w:val="center"/>
              <w:rPr>
                <w:rFonts w:hint="default" w:ascii="宋体" w:hAnsi="宋体" w:eastAsia="宋体" w:cs="宋体"/>
                <w:color w:val="000000"/>
                <w:kern w:val="0"/>
                <w:sz w:val="21"/>
                <w:szCs w:val="21"/>
                <w:highlight w:val="none"/>
                <w:lang w:val="en-US" w:eastAsia="zh-CN"/>
              </w:rPr>
            </w:pPr>
            <w:r>
              <w:rPr>
                <w:rFonts w:hint="eastAsia" w:cs="宋体"/>
                <w:color w:val="000000"/>
                <w:kern w:val="0"/>
                <w:sz w:val="21"/>
                <w:szCs w:val="21"/>
                <w:highlight w:val="none"/>
                <w:lang w:val="en-US" w:eastAsia="zh-CN"/>
              </w:rPr>
              <w:t>3</w:t>
            </w:r>
          </w:p>
        </w:tc>
      </w:tr>
      <w:tr w14:paraId="63CBD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62E357">
            <w:pPr>
              <w:widowControl/>
              <w:spacing w:line="360" w:lineRule="auto"/>
              <w:jc w:val="center"/>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2.</w:t>
            </w:r>
            <w:r>
              <w:rPr>
                <w:rFonts w:hint="eastAsia" w:cs="宋体"/>
                <w:color w:val="000000"/>
                <w:kern w:val="0"/>
                <w:sz w:val="21"/>
                <w:szCs w:val="21"/>
                <w:highlight w:val="none"/>
                <w:lang w:val="en-US" w:eastAsia="zh-CN"/>
              </w:rPr>
              <w:t>6</w:t>
            </w:r>
          </w:p>
        </w:tc>
        <w:tc>
          <w:tcPr>
            <w:tcW w:w="93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54E1D5">
            <w:pPr>
              <w:pStyle w:val="328"/>
              <w:spacing w:before="10" w:line="240" w:lineRule="auto"/>
              <w:ind w:right="0"/>
              <w:jc w:val="center"/>
              <w:rPr>
                <w:rFonts w:ascii="宋体" w:hAnsi="宋体" w:eastAsia="宋体" w:cs="宋体"/>
                <w:b/>
                <w:bCs/>
                <w:sz w:val="16"/>
                <w:szCs w:val="16"/>
                <w:highlight w:val="none"/>
              </w:rPr>
            </w:pPr>
          </w:p>
          <w:p w14:paraId="7D275AEE">
            <w:pPr>
              <w:pStyle w:val="328"/>
              <w:spacing w:line="276" w:lineRule="auto"/>
              <w:ind w:left="150" w:leftChars="0" w:right="147" w:rightChars="0"/>
              <w:jc w:val="center"/>
              <w:rPr>
                <w:rFonts w:hint="eastAsia" w:ascii="宋体" w:hAnsi="宋体" w:eastAsia="宋体" w:cs="宋体"/>
                <w:color w:val="000000"/>
                <w:sz w:val="21"/>
                <w:szCs w:val="21"/>
                <w:highlight w:val="none"/>
                <w:lang w:val="en-US" w:eastAsia="zh-CN"/>
              </w:rPr>
            </w:pPr>
            <w:r>
              <w:rPr>
                <w:rFonts w:ascii="宋体" w:hAnsi="宋体" w:eastAsia="宋体" w:cs="宋体"/>
                <w:sz w:val="21"/>
                <w:szCs w:val="21"/>
                <w:highlight w:val="none"/>
              </w:rPr>
              <w:t>软件著作权</w:t>
            </w:r>
          </w:p>
        </w:tc>
        <w:tc>
          <w:tcPr>
            <w:tcW w:w="32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top"/>
          </w:tcPr>
          <w:p w14:paraId="6360C2D7">
            <w:pPr>
              <w:pStyle w:val="264"/>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供应商①具有电力设备运行与运维系统②智能电网故障反馈系统③电力设施维修呼叫系统④智能电网运行状态监控系统⑤电气火灾预警管理系统的响应软件著作权证书，每个得1分，本项最高得 5分。</w:t>
            </w:r>
          </w:p>
          <w:p w14:paraId="158C2A0C">
            <w:pPr>
              <w:pStyle w:val="264"/>
              <w:spacing w:line="360" w:lineRule="auto"/>
              <w:ind w:firstLine="420" w:firstLineChars="200"/>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注：①提供以上软件著作权证书</w:t>
            </w:r>
            <w:r>
              <w:rPr>
                <w:rFonts w:hint="eastAsia" w:ascii="宋体" w:hAnsi="宋体" w:eastAsia="宋体" w:cs="宋体"/>
                <w:color w:val="000000"/>
                <w:sz w:val="21"/>
                <w:szCs w:val="21"/>
                <w:highlight w:val="none"/>
                <w:lang w:val="en-US" w:eastAsia="zh-CN"/>
              </w:rPr>
              <w:t>原件扫描件</w:t>
            </w:r>
            <w:r>
              <w:rPr>
                <w:rFonts w:hint="default" w:ascii="宋体" w:hAnsi="宋体" w:eastAsia="宋体" w:cs="宋体"/>
                <w:color w:val="000000"/>
                <w:sz w:val="21"/>
                <w:szCs w:val="21"/>
                <w:highlight w:val="none"/>
                <w:lang w:val="en-US" w:eastAsia="zh-CN"/>
              </w:rPr>
              <w:t>；</w:t>
            </w:r>
          </w:p>
          <w:p w14:paraId="005A5A0A">
            <w:pPr>
              <w:pStyle w:val="264"/>
              <w:spacing w:line="360" w:lineRule="auto"/>
              <w:ind w:firstLine="420" w:firstLineChars="200"/>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②以上证书如认证范围与上述名称不完全一致的，经评委会认定为同一类别的，该项予以得分。</w:t>
            </w:r>
          </w:p>
        </w:tc>
        <w:tc>
          <w:tcPr>
            <w:tcW w:w="39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E8FA4E">
            <w:pPr>
              <w:numPr>
                <w:ilvl w:val="0"/>
                <w:numId w:val="0"/>
              </w:numPr>
              <w:adjustRightInd w:val="0"/>
              <w:snapToGrid w:val="0"/>
              <w:spacing w:line="360" w:lineRule="auto"/>
              <w:jc w:val="center"/>
              <w:rPr>
                <w:rFonts w:hint="default" w:ascii="宋体" w:hAnsi="宋体" w:eastAsia="宋体" w:cs="宋体"/>
                <w:color w:val="000000"/>
                <w:kern w:val="0"/>
                <w:sz w:val="21"/>
                <w:szCs w:val="21"/>
                <w:highlight w:val="none"/>
                <w:lang w:val="en-US" w:eastAsia="zh-CN"/>
              </w:rPr>
            </w:pPr>
            <w:r>
              <w:rPr>
                <w:rFonts w:hint="eastAsia" w:cs="宋体"/>
                <w:color w:val="000000"/>
                <w:kern w:val="0"/>
                <w:sz w:val="21"/>
                <w:szCs w:val="21"/>
                <w:highlight w:val="none"/>
                <w:lang w:val="en-US" w:eastAsia="zh-CN"/>
              </w:rPr>
              <w:t>5</w:t>
            </w:r>
          </w:p>
        </w:tc>
      </w:tr>
      <w:bookmarkEnd w:id="310"/>
    </w:tbl>
    <w:p w14:paraId="6BDC6CD3">
      <w:pPr>
        <w:widowControl/>
        <w:numPr>
          <w:ilvl w:val="0"/>
          <w:numId w:val="0"/>
        </w:numPr>
        <w:spacing w:line="360" w:lineRule="auto"/>
        <w:ind w:left="1245" w:leftChars="0" w:hanging="765" w:firstLineChars="0"/>
        <w:jc w:val="left"/>
        <w:rPr>
          <w:rFonts w:hint="eastAsia" w:ascii="宋体" w:hAnsi="宋体"/>
          <w:b/>
          <w:color w:val="000000"/>
          <w:sz w:val="24"/>
          <w:highlight w:val="none"/>
        </w:rPr>
      </w:pPr>
      <w:r>
        <w:rPr>
          <w:rFonts w:hint="default" w:ascii="宋体" w:hAnsi="宋体" w:eastAsia="宋体" w:cs="Times New Roman"/>
          <w:b/>
          <w:color w:val="000000"/>
          <w:sz w:val="24"/>
        </w:rPr>
        <w:t>（</w:t>
      </w:r>
      <w:r>
        <w:rPr>
          <w:rFonts w:hint="eastAsia" w:cs="Times New Roman"/>
          <w:b/>
          <w:color w:val="000000"/>
          <w:sz w:val="24"/>
          <w:lang w:val="en-US" w:eastAsia="zh-CN"/>
        </w:rPr>
        <w:t>三</w:t>
      </w:r>
      <w:r>
        <w:rPr>
          <w:rFonts w:hint="default" w:ascii="宋体" w:hAnsi="宋体" w:eastAsia="宋体" w:cs="Times New Roman"/>
          <w:b/>
          <w:color w:val="000000"/>
          <w:sz w:val="24"/>
        </w:rPr>
        <w:t>）</w:t>
      </w:r>
      <w:r>
        <w:rPr>
          <w:rFonts w:hint="eastAsia" w:ascii="宋体" w:hAnsi="宋体"/>
          <w:b/>
          <w:color w:val="000000"/>
          <w:sz w:val="24"/>
          <w:highlight w:val="none"/>
        </w:rPr>
        <w:t>价格评估</w:t>
      </w:r>
      <w:r>
        <w:rPr>
          <w:rFonts w:hint="eastAsia" w:ascii="宋体" w:hAnsi="宋体"/>
          <w:b/>
          <w:color w:val="000000"/>
          <w:sz w:val="24"/>
          <w:highlight w:val="none"/>
          <w:lang w:val="en-US" w:eastAsia="zh-CN"/>
        </w:rPr>
        <w:t xml:space="preserve">  </w:t>
      </w:r>
    </w:p>
    <w:tbl>
      <w:tblPr>
        <w:tblStyle w:val="33"/>
        <w:tblW w:w="4975" w:type="pct"/>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787"/>
        <w:gridCol w:w="6248"/>
        <w:gridCol w:w="711"/>
      </w:tblGrid>
      <w:tr w14:paraId="67C43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81570D">
            <w:pPr>
              <w:pStyle w:val="259"/>
              <w:spacing w:line="360" w:lineRule="auto"/>
              <w:jc w:val="center"/>
              <w:rPr>
                <w:rStyle w:val="35"/>
                <w:rFonts w:ascii="宋体" w:hAnsi="宋体" w:eastAsia="宋体" w:cs="宋体"/>
                <w:b w:val="0"/>
                <w:color w:val="000000"/>
                <w:sz w:val="21"/>
                <w:szCs w:val="24"/>
                <w:highlight w:val="none"/>
              </w:rPr>
            </w:pPr>
            <w:bookmarkStart w:id="311" w:name="EB00ed059341e447b48aa4c095e09e7fc2"/>
            <w:r>
              <w:rPr>
                <w:rStyle w:val="35"/>
                <w:rFonts w:ascii="宋体" w:hAnsi="宋体" w:eastAsia="宋体" w:cs="宋体"/>
                <w:b w:val="0"/>
                <w:color w:val="000000"/>
                <w:sz w:val="21"/>
                <w:szCs w:val="24"/>
                <w:highlight w:val="none"/>
              </w:rPr>
              <w:t>序号</w:t>
            </w:r>
          </w:p>
        </w:tc>
        <w:tc>
          <w:tcPr>
            <w:tcW w:w="9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4601E0">
            <w:pPr>
              <w:pStyle w:val="259"/>
              <w:spacing w:line="360" w:lineRule="auto"/>
              <w:jc w:val="center"/>
              <w:rPr>
                <w:rStyle w:val="35"/>
                <w:rFonts w:ascii="宋体" w:hAnsi="宋体" w:eastAsia="宋体" w:cs="宋体"/>
                <w:b w:val="0"/>
                <w:color w:val="000000"/>
                <w:sz w:val="21"/>
                <w:szCs w:val="24"/>
                <w:highlight w:val="none"/>
              </w:rPr>
            </w:pPr>
            <w:r>
              <w:rPr>
                <w:rStyle w:val="35"/>
                <w:rFonts w:ascii="宋体" w:hAnsi="宋体" w:eastAsia="宋体" w:cs="宋体"/>
                <w:b w:val="0"/>
                <w:color w:val="000000"/>
                <w:sz w:val="21"/>
                <w:szCs w:val="24"/>
                <w:highlight w:val="none"/>
              </w:rPr>
              <w:t>评审因素</w:t>
            </w:r>
          </w:p>
        </w:tc>
        <w:tc>
          <w:tcPr>
            <w:tcW w:w="32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3FDA54">
            <w:pPr>
              <w:pStyle w:val="259"/>
              <w:spacing w:line="360" w:lineRule="auto"/>
              <w:jc w:val="center"/>
              <w:rPr>
                <w:rStyle w:val="35"/>
                <w:rFonts w:ascii="宋体" w:hAnsi="宋体" w:eastAsia="宋体" w:cs="宋体"/>
                <w:b w:val="0"/>
                <w:color w:val="000000"/>
                <w:sz w:val="21"/>
                <w:szCs w:val="24"/>
                <w:highlight w:val="none"/>
              </w:rPr>
            </w:pPr>
            <w:r>
              <w:rPr>
                <w:rStyle w:val="35"/>
                <w:rFonts w:ascii="宋体" w:hAnsi="宋体" w:eastAsia="宋体" w:cs="宋体"/>
                <w:b w:val="0"/>
                <w:color w:val="000000"/>
                <w:sz w:val="21"/>
                <w:szCs w:val="24"/>
                <w:highlight w:val="none"/>
              </w:rPr>
              <w:t>评审细则</w:t>
            </w:r>
          </w:p>
        </w:tc>
        <w:tc>
          <w:tcPr>
            <w:tcW w:w="3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FD0BCE">
            <w:pPr>
              <w:pStyle w:val="259"/>
              <w:spacing w:line="360" w:lineRule="auto"/>
              <w:jc w:val="center"/>
              <w:rPr>
                <w:rStyle w:val="35"/>
                <w:rFonts w:ascii="宋体" w:hAnsi="宋体" w:eastAsia="宋体" w:cs="宋体"/>
                <w:b w:val="0"/>
                <w:color w:val="000000"/>
                <w:sz w:val="21"/>
                <w:szCs w:val="24"/>
                <w:highlight w:val="none"/>
              </w:rPr>
            </w:pPr>
            <w:r>
              <w:rPr>
                <w:rStyle w:val="35"/>
                <w:rFonts w:ascii="宋体" w:hAnsi="宋体" w:eastAsia="宋体" w:cs="宋体"/>
                <w:b w:val="0"/>
                <w:color w:val="000000"/>
                <w:sz w:val="21"/>
                <w:szCs w:val="24"/>
                <w:highlight w:val="none"/>
              </w:rPr>
              <w:t>分值</w:t>
            </w:r>
          </w:p>
        </w:tc>
      </w:tr>
      <w:tr w14:paraId="751EC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6"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036AA8">
            <w:pPr>
              <w:pStyle w:val="259"/>
              <w:spacing w:line="360" w:lineRule="auto"/>
              <w:jc w:val="center"/>
              <w:rPr>
                <w:rStyle w:val="35"/>
                <w:rFonts w:ascii="宋体" w:hAnsi="宋体" w:eastAsia="宋体" w:cs="宋体"/>
                <w:b w:val="0"/>
                <w:color w:val="000000"/>
                <w:sz w:val="21"/>
                <w:szCs w:val="24"/>
                <w:highlight w:val="none"/>
              </w:rPr>
            </w:pPr>
            <w:r>
              <w:rPr>
                <w:rStyle w:val="35"/>
                <w:rFonts w:ascii="宋体" w:hAnsi="宋体" w:eastAsia="宋体" w:cs="宋体"/>
                <w:b w:val="0"/>
                <w:color w:val="000000"/>
                <w:sz w:val="21"/>
                <w:szCs w:val="24"/>
                <w:highlight w:val="none"/>
              </w:rPr>
              <w:t>报价评价</w:t>
            </w:r>
          </w:p>
        </w:tc>
        <w:tc>
          <w:tcPr>
            <w:tcW w:w="3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1C81B2">
            <w:pPr>
              <w:pStyle w:val="259"/>
              <w:spacing w:line="360" w:lineRule="auto"/>
              <w:jc w:val="center"/>
              <w:rPr>
                <w:rStyle w:val="35"/>
                <w:rFonts w:ascii="宋体" w:hAnsi="宋体" w:eastAsia="宋体" w:cs="宋体"/>
                <w:b w:val="0"/>
                <w:color w:val="000000"/>
                <w:sz w:val="21"/>
                <w:szCs w:val="24"/>
                <w:highlight w:val="none"/>
              </w:rPr>
            </w:pPr>
            <w:r>
              <w:rPr>
                <w:rStyle w:val="35"/>
                <w:rFonts w:hint="eastAsia" w:ascii="宋体" w:hAnsi="宋体" w:cs="宋体"/>
                <w:b w:val="0"/>
                <w:color w:val="000000"/>
                <w:sz w:val="21"/>
                <w:szCs w:val="24"/>
                <w:highlight w:val="none"/>
                <w:lang w:val="en-US" w:eastAsia="zh-CN"/>
              </w:rPr>
              <w:t>20</w:t>
            </w:r>
            <w:r>
              <w:rPr>
                <w:rStyle w:val="35"/>
                <w:rFonts w:ascii="宋体" w:hAnsi="宋体" w:eastAsia="宋体" w:cs="宋体"/>
                <w:b w:val="0"/>
                <w:color w:val="000000"/>
                <w:sz w:val="21"/>
                <w:szCs w:val="24"/>
                <w:highlight w:val="none"/>
              </w:rPr>
              <w:t>.0</w:t>
            </w:r>
          </w:p>
        </w:tc>
      </w:tr>
      <w:tr w14:paraId="5A4A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5A604E">
            <w:pPr>
              <w:pStyle w:val="259"/>
              <w:spacing w:line="360" w:lineRule="auto"/>
              <w:jc w:val="center"/>
              <w:rPr>
                <w:rStyle w:val="35"/>
                <w:rFonts w:ascii="宋体" w:hAnsi="宋体" w:eastAsia="宋体" w:cs="宋体"/>
                <w:b w:val="0"/>
                <w:color w:val="000000"/>
                <w:sz w:val="21"/>
                <w:szCs w:val="24"/>
                <w:highlight w:val="none"/>
              </w:rPr>
            </w:pPr>
            <w:r>
              <w:rPr>
                <w:rStyle w:val="35"/>
                <w:rFonts w:ascii="宋体" w:hAnsi="宋体" w:eastAsia="宋体" w:cs="宋体"/>
                <w:b w:val="0"/>
                <w:color w:val="000000"/>
                <w:sz w:val="21"/>
                <w:szCs w:val="24"/>
                <w:highlight w:val="none"/>
              </w:rPr>
              <w:t>1.1</w:t>
            </w:r>
          </w:p>
        </w:tc>
        <w:tc>
          <w:tcPr>
            <w:tcW w:w="9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403E52">
            <w:pPr>
              <w:adjustRightInd w:val="0"/>
              <w:snapToGrid w:val="0"/>
              <w:spacing w:before="100" w:beforeAutospacing="1" w:after="100" w:afterAutospacing="1" w:line="360" w:lineRule="auto"/>
              <w:jc w:val="center"/>
              <w:rPr>
                <w:rStyle w:val="35"/>
                <w:rFonts w:ascii="宋体" w:hAnsi="宋体" w:eastAsia="宋体" w:cs="宋体"/>
                <w:b w:val="0"/>
                <w:color w:val="000000"/>
                <w:sz w:val="21"/>
                <w:szCs w:val="24"/>
                <w:highlight w:val="none"/>
              </w:rPr>
            </w:pPr>
            <w:r>
              <w:rPr>
                <w:rFonts w:hint="eastAsia" w:ascii="宋体" w:hAnsi="宋体" w:eastAsia="宋体" w:cs="宋体"/>
                <w:color w:val="000000"/>
                <w:kern w:val="0"/>
                <w:sz w:val="21"/>
                <w:szCs w:val="24"/>
                <w:highlight w:val="none"/>
                <w:lang w:val="en-US" w:eastAsia="zh-CN" w:bidi="ar-SA"/>
              </w:rPr>
              <w:t>报价得分</w:t>
            </w:r>
          </w:p>
        </w:tc>
        <w:tc>
          <w:tcPr>
            <w:tcW w:w="327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93A132">
            <w:pPr>
              <w:pStyle w:val="264"/>
              <w:spacing w:line="360" w:lineRule="auto"/>
              <w:ind w:firstLine="420" w:firstLineChars="200"/>
              <w:jc w:val="left"/>
              <w:rPr>
                <w:rFonts w:hint="eastAsia" w:ascii="宋体" w:hAnsi="宋体" w:eastAsia="宋体" w:cs="宋体"/>
                <w:color w:val="000000"/>
                <w:kern w:val="0"/>
                <w:sz w:val="21"/>
                <w:szCs w:val="24"/>
                <w:highlight w:val="none"/>
                <w:lang w:val="en-US" w:eastAsia="zh-CN" w:bidi="ar-SA"/>
              </w:rPr>
            </w:pPr>
            <w:r>
              <w:rPr>
                <w:rFonts w:hint="eastAsia" w:ascii="宋体" w:hAnsi="宋体" w:eastAsia="宋体" w:cs="宋体"/>
                <w:color w:val="000000"/>
                <w:kern w:val="0"/>
                <w:sz w:val="21"/>
                <w:szCs w:val="24"/>
                <w:highlight w:val="none"/>
                <w:lang w:val="en-US" w:eastAsia="zh-CN" w:bidi="ar-SA"/>
              </w:rPr>
              <w:t>综合评分法中的价格分采用低价优先法计算，即满足磋商文件要求且最后报价最低的供应商的价格为磋商基准价，其价格分为满分</w:t>
            </w:r>
            <w:r>
              <w:rPr>
                <w:rFonts w:hint="eastAsia" w:ascii="宋体" w:hAnsi="宋体" w:cs="宋体"/>
                <w:color w:val="000000"/>
                <w:kern w:val="0"/>
                <w:sz w:val="21"/>
                <w:szCs w:val="24"/>
                <w:highlight w:val="none"/>
                <w:lang w:val="en-US" w:eastAsia="zh-CN" w:bidi="ar-SA"/>
              </w:rPr>
              <w:t>20</w:t>
            </w:r>
            <w:r>
              <w:rPr>
                <w:rFonts w:hint="eastAsia" w:ascii="宋体" w:hAnsi="宋体" w:eastAsia="宋体" w:cs="宋体"/>
                <w:color w:val="000000"/>
                <w:kern w:val="0"/>
                <w:sz w:val="21"/>
                <w:szCs w:val="24"/>
                <w:highlight w:val="none"/>
                <w:lang w:val="en-US" w:eastAsia="zh-CN" w:bidi="ar-SA"/>
              </w:rPr>
              <w:t>分。其他供应商的价格分统一按照下列公式计算：磋商报价得分= (磋商基准价／最后磋商报价)×20。</w:t>
            </w:r>
          </w:p>
        </w:tc>
        <w:tc>
          <w:tcPr>
            <w:tcW w:w="3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F42690">
            <w:pPr>
              <w:adjustRightInd w:val="0"/>
              <w:snapToGrid w:val="0"/>
              <w:spacing w:before="100" w:beforeAutospacing="1" w:after="100" w:afterAutospacing="1" w:line="360" w:lineRule="auto"/>
              <w:jc w:val="center"/>
              <w:rPr>
                <w:rStyle w:val="35"/>
                <w:rFonts w:ascii="宋体" w:hAnsi="宋体" w:eastAsia="宋体" w:cs="宋体"/>
                <w:b w:val="0"/>
                <w:color w:val="000000"/>
                <w:sz w:val="21"/>
                <w:szCs w:val="24"/>
                <w:highlight w:val="none"/>
              </w:rPr>
            </w:pPr>
            <w:r>
              <w:rPr>
                <w:rFonts w:hint="eastAsia" w:cs="宋体"/>
                <w:color w:val="000000"/>
                <w:kern w:val="0"/>
                <w:sz w:val="21"/>
                <w:szCs w:val="24"/>
                <w:highlight w:val="none"/>
                <w:lang w:val="en-US" w:eastAsia="zh-CN" w:bidi="ar-SA"/>
              </w:rPr>
              <w:t>20.</w:t>
            </w:r>
            <w:r>
              <w:rPr>
                <w:rFonts w:hint="eastAsia" w:ascii="宋体" w:hAnsi="宋体" w:eastAsia="宋体" w:cs="宋体"/>
                <w:color w:val="000000"/>
                <w:kern w:val="0"/>
                <w:sz w:val="21"/>
                <w:szCs w:val="24"/>
                <w:highlight w:val="none"/>
                <w:lang w:val="en-US" w:eastAsia="zh-CN" w:bidi="ar-SA"/>
              </w:rPr>
              <w:t>0</w:t>
            </w:r>
          </w:p>
        </w:tc>
      </w:tr>
      <w:bookmarkEnd w:id="311"/>
    </w:tbl>
    <w:p w14:paraId="6C0A7C45">
      <w:pPr>
        <w:pStyle w:val="188"/>
        <w:spacing w:line="400" w:lineRule="exact"/>
        <w:ind w:firstLine="321"/>
        <w:jc w:val="left"/>
        <w:rPr>
          <w:rFonts w:ascii="宋体" w:hAnsi="宋体" w:eastAsia="宋体"/>
          <w:color w:val="000000"/>
          <w:sz w:val="32"/>
          <w:highlight w:val="none"/>
        </w:rPr>
      </w:pPr>
      <w:r>
        <w:rPr>
          <w:rFonts w:hint="eastAsia" w:ascii="宋体" w:hAnsi="宋体" w:eastAsia="宋体"/>
          <w:color w:val="000000"/>
          <w:sz w:val="32"/>
          <w:highlight w:val="none"/>
        </w:rPr>
        <w:t>7．推荐成交供应商</w:t>
      </w:r>
      <w:bookmarkEnd w:id="305"/>
      <w:bookmarkEnd w:id="306"/>
      <w:bookmarkEnd w:id="307"/>
    </w:p>
    <w:p w14:paraId="67CBA6B4">
      <w:pPr>
        <w:spacing w:line="360" w:lineRule="auto"/>
        <w:ind w:firstLine="480"/>
        <w:rPr>
          <w:rFonts w:hint="eastAsia" w:ascii="宋体" w:hAnsi="宋体"/>
          <w:color w:val="000000"/>
          <w:sz w:val="24"/>
          <w:highlight w:val="none"/>
        </w:rPr>
      </w:pPr>
      <w:bookmarkStart w:id="312" w:name="EBf60c0b78baae4cd4941a83c86b937dfd"/>
      <w:r>
        <w:rPr>
          <w:rFonts w:hint="eastAsia" w:ascii="宋体" w:hAnsi="宋体"/>
          <w:color w:val="0000FF"/>
          <w:sz w:val="24"/>
          <w:highlight w:val="none"/>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12"/>
    </w:p>
    <w:p w14:paraId="04B63BBD">
      <w:pPr>
        <w:rPr>
          <w:highlight w:val="none"/>
        </w:rPr>
      </w:pPr>
      <w:bookmarkStart w:id="313" w:name="EB33162866c0454b07a982cbc9df098632"/>
      <w:r>
        <w:rPr>
          <w:rFonts w:hint="eastAsia"/>
          <w:color w:val="000080"/>
          <w:sz w:val="20"/>
          <w:highlight w:val="none"/>
        </w:rPr>
        <w:t xml:space="preserve"> </w:t>
      </w:r>
      <w:bookmarkEnd w:id="313"/>
    </w:p>
    <w:p w14:paraId="7D0DE986">
      <w:pPr>
        <w:pStyle w:val="189"/>
        <w:keepNext w:val="0"/>
        <w:keepLines w:val="0"/>
        <w:spacing w:before="200" w:after="200" w:line="360" w:lineRule="auto"/>
        <w:ind w:firstLine="475"/>
        <w:jc w:val="center"/>
        <w:rPr>
          <w:rFonts w:ascii="宋体" w:hAnsi="宋体"/>
          <w:color w:val="000000"/>
          <w:sz w:val="32"/>
          <w:highlight w:val="none"/>
        </w:rPr>
      </w:pPr>
      <w:r>
        <w:rPr>
          <w:rFonts w:ascii="宋体" w:hAnsi="宋体"/>
          <w:i/>
          <w:color w:val="000000"/>
          <w:highlight w:val="none"/>
        </w:rPr>
        <w:br w:type="page" w:clear="all"/>
      </w:r>
      <w:bookmarkStart w:id="314" w:name="_Toc73365521"/>
      <w:bookmarkStart w:id="315" w:name="_Toc73364908"/>
      <w:bookmarkStart w:id="316" w:name="_Toc21477"/>
      <w:r>
        <w:rPr>
          <w:rFonts w:hint="eastAsia" w:ascii="宋体" w:hAnsi="宋体"/>
          <w:color w:val="000000"/>
          <w:sz w:val="32"/>
          <w:highlight w:val="none"/>
        </w:rPr>
        <w:t>第六部分  磋商响应文件（格式）</w:t>
      </w:r>
      <w:bookmarkEnd w:id="314"/>
      <w:bookmarkEnd w:id="315"/>
      <w:bookmarkEnd w:id="316"/>
    </w:p>
    <w:p w14:paraId="3E849B95">
      <w:pPr>
        <w:rPr>
          <w:highlight w:val="none"/>
        </w:rPr>
      </w:pPr>
      <w:bookmarkStart w:id="317" w:name="EB491a073be94b40b3b791bdad326531a2"/>
    </w:p>
    <w:p w14:paraId="0A78BE43">
      <w:pPr>
        <w:pStyle w:val="268"/>
        <w:rPr>
          <w:highlight w:val="none"/>
        </w:rPr>
      </w:pPr>
      <w:r>
        <w:rPr>
          <w:rFonts w:ascii="宋体" w:hAnsi="宋体" w:eastAsia="宋体" w:cs="宋体"/>
          <w:highlight w:val="none"/>
        </w:rPr>
        <w:t xml:space="preserve">﻿ </w:t>
      </w:r>
    </w:p>
    <w:p w14:paraId="3A28AB7A">
      <w:pPr>
        <w:pStyle w:val="268"/>
        <w:spacing w:before="540" w:after="540"/>
        <w:jc w:val="center"/>
        <w:rPr>
          <w:rFonts w:ascii="宋体" w:hAnsi="宋体" w:eastAsia="宋体" w:cs="宋体"/>
          <w:b/>
          <w:bCs/>
          <w:sz w:val="54"/>
          <w:szCs w:val="54"/>
          <w:highlight w:val="none"/>
        </w:rPr>
      </w:pPr>
      <w:r>
        <w:rPr>
          <w:rFonts w:ascii="宋体" w:hAnsi="宋体" w:eastAsia="宋体" w:cs="宋体"/>
          <w:b/>
          <w:bCs/>
          <w:sz w:val="54"/>
          <w:szCs w:val="54"/>
          <w:highlight w:val="none"/>
        </w:rPr>
        <w:t>磋 商 响 应 文 件</w:t>
      </w:r>
    </w:p>
    <w:p w14:paraId="412097E1">
      <w:pPr>
        <w:pStyle w:val="268"/>
        <w:spacing w:before="240" w:after="240"/>
        <w:rPr>
          <w:rFonts w:ascii="宋体" w:hAnsi="宋体" w:eastAsia="宋体" w:cs="宋体"/>
          <w:highlight w:val="none"/>
        </w:rPr>
      </w:pPr>
      <w:r>
        <w:rPr>
          <w:rFonts w:ascii="宋体" w:hAnsi="宋体" w:eastAsia="宋体" w:cs="宋体"/>
          <w:highlight w:val="none"/>
        </w:rPr>
        <w:t> </w:t>
      </w:r>
    </w:p>
    <w:p w14:paraId="50B0153C">
      <w:pPr>
        <w:pStyle w:val="268"/>
        <w:spacing w:before="320" w:after="320"/>
        <w:jc w:val="center"/>
        <w:rPr>
          <w:rFonts w:ascii="宋体" w:hAnsi="宋体" w:eastAsia="宋体" w:cs="宋体"/>
          <w:b/>
          <w:bCs/>
          <w:sz w:val="32"/>
          <w:szCs w:val="32"/>
          <w:highlight w:val="none"/>
        </w:rPr>
      </w:pPr>
      <w:r>
        <w:rPr>
          <w:rFonts w:ascii="宋体" w:hAnsi="宋体" w:eastAsia="宋体" w:cs="宋体"/>
          <w:b/>
          <w:bCs/>
          <w:sz w:val="32"/>
          <w:szCs w:val="32"/>
          <w:highlight w:val="none"/>
        </w:rPr>
        <w:t xml:space="preserve">项目编号：     </w:t>
      </w:r>
    </w:p>
    <w:p w14:paraId="7143546C">
      <w:pPr>
        <w:pStyle w:val="268"/>
        <w:spacing w:before="240" w:after="240"/>
        <w:rPr>
          <w:rFonts w:ascii="宋体" w:hAnsi="宋体" w:eastAsia="宋体" w:cs="宋体"/>
          <w:highlight w:val="none"/>
        </w:rPr>
      </w:pPr>
      <w:r>
        <w:rPr>
          <w:rFonts w:ascii="宋体" w:hAnsi="宋体" w:eastAsia="宋体" w:cs="宋体"/>
          <w:highlight w:val="none"/>
        </w:rPr>
        <w:t> </w:t>
      </w:r>
    </w:p>
    <w:p w14:paraId="52263447">
      <w:pPr>
        <w:pStyle w:val="268"/>
        <w:spacing w:before="240" w:after="240"/>
        <w:rPr>
          <w:rFonts w:ascii="宋体" w:hAnsi="宋体" w:eastAsia="宋体" w:cs="宋体"/>
          <w:highlight w:val="none"/>
        </w:rPr>
      </w:pPr>
      <w:r>
        <w:rPr>
          <w:rFonts w:ascii="宋体" w:hAnsi="宋体" w:eastAsia="宋体" w:cs="宋体"/>
          <w:highlight w:val="none"/>
        </w:rPr>
        <w:t> </w:t>
      </w:r>
    </w:p>
    <w:p w14:paraId="176614F5">
      <w:pPr>
        <w:pStyle w:val="268"/>
        <w:spacing w:before="320" w:after="320"/>
        <w:jc w:val="center"/>
        <w:rPr>
          <w:rFonts w:ascii="宋体" w:hAnsi="宋体" w:eastAsia="宋体" w:cs="宋体"/>
          <w:b/>
          <w:bCs/>
          <w:sz w:val="32"/>
          <w:szCs w:val="32"/>
          <w:highlight w:val="none"/>
        </w:rPr>
      </w:pPr>
      <w:r>
        <w:rPr>
          <w:rFonts w:ascii="宋体" w:hAnsi="宋体" w:eastAsia="宋体" w:cs="宋体"/>
          <w:b/>
          <w:bCs/>
          <w:sz w:val="32"/>
          <w:szCs w:val="32"/>
          <w:highlight w:val="none"/>
        </w:rPr>
        <w:t xml:space="preserve">项目名称：     </w:t>
      </w:r>
    </w:p>
    <w:p w14:paraId="799AA886">
      <w:pPr>
        <w:pStyle w:val="268"/>
        <w:spacing w:before="240" w:after="240"/>
        <w:rPr>
          <w:rFonts w:ascii="宋体" w:hAnsi="宋体" w:eastAsia="宋体" w:cs="宋体"/>
          <w:highlight w:val="none"/>
        </w:rPr>
      </w:pPr>
      <w:r>
        <w:rPr>
          <w:rFonts w:ascii="宋体" w:hAnsi="宋体" w:eastAsia="宋体" w:cs="宋体"/>
          <w:highlight w:val="none"/>
        </w:rPr>
        <w:t> </w:t>
      </w:r>
    </w:p>
    <w:p w14:paraId="449C203F">
      <w:pPr>
        <w:pStyle w:val="268"/>
        <w:spacing w:before="240" w:after="240"/>
        <w:rPr>
          <w:rFonts w:ascii="宋体" w:hAnsi="宋体" w:eastAsia="宋体" w:cs="宋体"/>
          <w:highlight w:val="none"/>
        </w:rPr>
      </w:pPr>
      <w:r>
        <w:rPr>
          <w:rFonts w:ascii="宋体" w:hAnsi="宋体" w:eastAsia="宋体" w:cs="宋体"/>
          <w:highlight w:val="none"/>
        </w:rPr>
        <w:t> </w:t>
      </w:r>
    </w:p>
    <w:p w14:paraId="57B90214">
      <w:pPr>
        <w:pStyle w:val="268"/>
        <w:spacing w:before="320" w:after="320"/>
        <w:jc w:val="center"/>
        <w:rPr>
          <w:rFonts w:ascii="宋体" w:hAnsi="宋体" w:eastAsia="宋体" w:cs="宋体"/>
          <w:b/>
          <w:bCs/>
          <w:sz w:val="32"/>
          <w:szCs w:val="32"/>
          <w:highlight w:val="none"/>
        </w:rPr>
      </w:pPr>
      <w:r>
        <w:rPr>
          <w:rFonts w:ascii="宋体" w:hAnsi="宋体" w:eastAsia="宋体" w:cs="宋体"/>
          <w:b/>
          <w:bCs/>
          <w:sz w:val="32"/>
          <w:szCs w:val="32"/>
          <w:highlight w:val="none"/>
        </w:rPr>
        <w:t xml:space="preserve">供应商（加盖公章）：     </w:t>
      </w:r>
    </w:p>
    <w:p w14:paraId="578994A5">
      <w:pPr>
        <w:pStyle w:val="268"/>
        <w:spacing w:before="320" w:after="320"/>
        <w:jc w:val="center"/>
        <w:rPr>
          <w:rFonts w:ascii="宋体" w:hAnsi="宋体" w:eastAsia="宋体" w:cs="宋体"/>
          <w:b/>
          <w:bCs/>
          <w:sz w:val="32"/>
          <w:szCs w:val="32"/>
          <w:highlight w:val="none"/>
        </w:rPr>
      </w:pPr>
      <w:r>
        <w:rPr>
          <w:rFonts w:ascii="宋体" w:hAnsi="宋体" w:eastAsia="宋体" w:cs="宋体"/>
          <w:b/>
          <w:bCs/>
          <w:sz w:val="32"/>
          <w:szCs w:val="32"/>
          <w:highlight w:val="none"/>
        </w:rPr>
        <w:t> </w:t>
      </w:r>
    </w:p>
    <w:p w14:paraId="29D24356">
      <w:pPr>
        <w:pStyle w:val="268"/>
        <w:spacing w:before="320" w:after="320" w:line="360" w:lineRule="auto"/>
        <w:jc w:val="center"/>
        <w:rPr>
          <w:rFonts w:ascii="宋体" w:hAnsi="宋体" w:eastAsia="宋体" w:cs="宋体"/>
          <w:sz w:val="32"/>
          <w:szCs w:val="32"/>
          <w:highlight w:val="none"/>
        </w:rPr>
      </w:pPr>
      <w:r>
        <w:rPr>
          <w:rFonts w:ascii="宋体" w:hAnsi="宋体" w:eastAsia="宋体" w:cs="宋体"/>
          <w:sz w:val="32"/>
          <w:szCs w:val="32"/>
          <w:highlight w:val="none"/>
        </w:rPr>
        <w:t>日期：   </w:t>
      </w:r>
    </w:p>
    <w:p w14:paraId="36E34744">
      <w:pPr>
        <w:pStyle w:val="269"/>
        <w:jc w:val="center"/>
        <w:outlineLvl w:val="1"/>
        <w:rPr>
          <w:highlight w:val="none"/>
        </w:rPr>
      </w:pPr>
      <w:r>
        <w:rPr>
          <w:highlight w:val="none"/>
        </w:rPr>
        <w:br w:type="page" w:clear="all"/>
      </w:r>
      <w:bookmarkStart w:id="318" w:name="_Toc5922"/>
      <w:r>
        <w:rPr>
          <w:rFonts w:ascii="宋体" w:hAnsi="宋体" w:eastAsia="宋体" w:cs="宋体"/>
          <w:sz w:val="32"/>
          <w:highlight w:val="none"/>
        </w:rPr>
        <w:t>一、资格部分</w:t>
      </w:r>
      <w:bookmarkEnd w:id="318"/>
    </w:p>
    <w:p w14:paraId="4812648D">
      <w:pPr>
        <w:pStyle w:val="270"/>
        <w:jc w:val="center"/>
        <w:outlineLvl w:val="2"/>
        <w:rPr>
          <w:highlight w:val="none"/>
        </w:rPr>
      </w:pPr>
      <w:r>
        <w:rPr>
          <w:highlight w:val="none"/>
        </w:rPr>
        <w:br w:type="page" w:clear="all"/>
      </w:r>
      <w:bookmarkStart w:id="319" w:name="_Toc7448"/>
      <w:r>
        <w:rPr>
          <w:rFonts w:ascii="宋体" w:hAnsi="宋体" w:eastAsia="宋体" w:cs="宋体"/>
          <w:sz w:val="28"/>
          <w:highlight w:val="none"/>
        </w:rPr>
        <w:t>(一)磋商承诺函</w:t>
      </w:r>
      <w:bookmarkEnd w:id="319"/>
    </w:p>
    <w:p w14:paraId="27C47505">
      <w:pPr>
        <w:pStyle w:val="271"/>
        <w:rPr>
          <w:highlight w:val="none"/>
        </w:rPr>
      </w:pPr>
      <w:r>
        <w:rPr>
          <w:rFonts w:ascii="宋体" w:hAnsi="宋体" w:eastAsia="宋体" w:cs="宋体"/>
          <w:highlight w:val="none"/>
        </w:rPr>
        <w:t xml:space="preserve">﻿ </w:t>
      </w:r>
    </w:p>
    <w:p w14:paraId="623B590A">
      <w:pPr>
        <w:pStyle w:val="271"/>
        <w:spacing w:before="240" w:after="240"/>
        <w:rPr>
          <w:rFonts w:ascii="宋体" w:hAnsi="宋体" w:eastAsia="宋体" w:cs="宋体"/>
          <w:highlight w:val="none"/>
        </w:rPr>
      </w:pPr>
      <w:r>
        <w:rPr>
          <w:rFonts w:ascii="宋体" w:hAnsi="宋体" w:eastAsia="宋体" w:cs="宋体"/>
          <w:highlight w:val="none"/>
        </w:rPr>
        <w:t xml:space="preserve">致：   （磋商组织方） </w:t>
      </w:r>
    </w:p>
    <w:p w14:paraId="548207A3">
      <w:pPr>
        <w:pStyle w:val="271"/>
        <w:spacing w:before="240" w:after="240"/>
        <w:ind w:firstLine="420"/>
        <w:rPr>
          <w:rFonts w:ascii="宋体" w:hAnsi="宋体" w:eastAsia="宋体" w:cs="宋体"/>
          <w:highlight w:val="none"/>
        </w:rPr>
      </w:pPr>
      <w:r>
        <w:rPr>
          <w:rFonts w:ascii="宋体" w:hAnsi="宋体" w:eastAsia="宋体" w:cs="宋体"/>
          <w:highlight w:val="none"/>
        </w:rPr>
        <w:t xml:space="preserve">根据贵方关于   的磋商邀请，我方已完全理解磋商文件的所有内容。 </w:t>
      </w:r>
    </w:p>
    <w:p w14:paraId="661AF595">
      <w:pPr>
        <w:pStyle w:val="271"/>
        <w:spacing w:before="240" w:after="240"/>
        <w:ind w:firstLine="420"/>
        <w:rPr>
          <w:rFonts w:ascii="宋体" w:hAnsi="宋体" w:eastAsia="宋体" w:cs="宋体"/>
          <w:highlight w:val="none"/>
        </w:rPr>
      </w:pPr>
      <w:r>
        <w:rPr>
          <w:rFonts w:ascii="宋体" w:hAnsi="宋体" w:eastAsia="宋体" w:cs="宋体"/>
          <w:highlight w:val="none"/>
        </w:rPr>
        <w:t xml:space="preserve">据此函，我方兹宣布同意如下： </w:t>
      </w:r>
    </w:p>
    <w:p w14:paraId="386B75F3">
      <w:pPr>
        <w:pStyle w:val="271"/>
        <w:spacing w:before="240" w:after="240"/>
        <w:ind w:firstLine="420"/>
        <w:rPr>
          <w:rFonts w:ascii="宋体" w:hAnsi="宋体" w:eastAsia="宋体" w:cs="宋体"/>
          <w:highlight w:val="none"/>
        </w:rPr>
      </w:pPr>
      <w:r>
        <w:rPr>
          <w:rFonts w:ascii="宋体" w:hAnsi="宋体" w:eastAsia="宋体" w:cs="宋体"/>
          <w:highlight w:val="none"/>
        </w:rPr>
        <w:t xml:space="preserve">1.我方承诺：我方完全具备《政府采购法》第二十二条第一款规定的条件以及本项目磋商文件规定的参加磋商供应商须满足的特定条件。 </w:t>
      </w:r>
    </w:p>
    <w:p w14:paraId="7F357F7A">
      <w:pPr>
        <w:pStyle w:val="271"/>
        <w:spacing w:before="240" w:after="240"/>
        <w:ind w:firstLine="420"/>
        <w:rPr>
          <w:rFonts w:ascii="宋体" w:hAnsi="宋体" w:eastAsia="宋体" w:cs="宋体"/>
          <w:highlight w:val="none"/>
        </w:rPr>
      </w:pPr>
      <w:r>
        <w:rPr>
          <w:rFonts w:ascii="宋体" w:hAnsi="宋体" w:eastAsia="宋体" w:cs="宋体"/>
          <w:highlight w:val="none"/>
        </w:rPr>
        <w:t xml:space="preserve">2.我方承诺：参加本次采购活动前三年内，在经营活动中没有重大违法记录。 </w:t>
      </w:r>
    </w:p>
    <w:p w14:paraId="7CB253D3">
      <w:pPr>
        <w:pStyle w:val="271"/>
        <w:spacing w:before="240" w:after="240"/>
        <w:ind w:firstLine="420"/>
        <w:rPr>
          <w:rFonts w:ascii="宋体" w:hAnsi="宋体" w:eastAsia="宋体" w:cs="宋体"/>
          <w:highlight w:val="none"/>
        </w:rPr>
      </w:pPr>
      <w:r>
        <w:rPr>
          <w:rFonts w:ascii="宋体" w:hAnsi="宋体" w:eastAsia="宋体" w:cs="宋体"/>
          <w:highlight w:val="none"/>
        </w:rPr>
        <w:t xml:space="preserve">3.我方承诺：我方信用记录中没有被列入失信被执行人、没有被列入重大税收违法案件名单、没有被列入政府采购违法失信行为记录名单。 </w:t>
      </w:r>
    </w:p>
    <w:p w14:paraId="006056D5">
      <w:pPr>
        <w:pStyle w:val="271"/>
        <w:spacing w:before="240" w:after="240"/>
        <w:ind w:firstLine="420"/>
        <w:rPr>
          <w:rFonts w:ascii="宋体" w:hAnsi="宋体" w:eastAsia="宋体" w:cs="宋体"/>
          <w:highlight w:val="none"/>
        </w:rPr>
      </w:pPr>
      <w:r>
        <w:rPr>
          <w:rFonts w:ascii="宋体" w:hAnsi="宋体" w:eastAsia="宋体" w:cs="宋体"/>
          <w:highlight w:val="none"/>
        </w:rPr>
        <w:t xml:space="preserve">4.我方承诺按磋商文件要求提供的服务及货物的磋商报价见报价一览表。 </w:t>
      </w:r>
    </w:p>
    <w:p w14:paraId="637FF945">
      <w:pPr>
        <w:pStyle w:val="271"/>
        <w:spacing w:before="240" w:after="240"/>
        <w:ind w:firstLine="420"/>
        <w:rPr>
          <w:rFonts w:ascii="宋体" w:hAnsi="宋体" w:eastAsia="宋体" w:cs="宋体"/>
          <w:highlight w:val="none"/>
        </w:rPr>
      </w:pPr>
      <w:r>
        <w:rPr>
          <w:rFonts w:ascii="宋体" w:hAnsi="宋体" w:eastAsia="宋体" w:cs="宋体"/>
          <w:highlight w:val="none"/>
        </w:rPr>
        <w:t xml:space="preserve">5．我方承诺根据磋商文件的规定，完成合同义务，并承担责任（如有偏离，在响应文件中另作说明）。 </w:t>
      </w:r>
    </w:p>
    <w:p w14:paraId="66F4170B">
      <w:pPr>
        <w:pStyle w:val="271"/>
        <w:spacing w:before="240" w:after="240"/>
        <w:ind w:firstLine="420"/>
        <w:rPr>
          <w:rFonts w:ascii="宋体" w:hAnsi="宋体" w:eastAsia="宋体" w:cs="宋体"/>
          <w:highlight w:val="none"/>
        </w:rPr>
      </w:pPr>
      <w:r>
        <w:rPr>
          <w:rFonts w:ascii="宋体" w:hAnsi="宋体" w:eastAsia="宋体" w:cs="宋体"/>
          <w:highlight w:val="none"/>
        </w:rPr>
        <w:t>6．我方已详读全部磋商文件，包括磋商文件书面修改通知（如有），我方完全理解并同意放弃对这方面不明及误解的权利。</w:t>
      </w:r>
    </w:p>
    <w:p w14:paraId="3874A43A">
      <w:pPr>
        <w:pStyle w:val="271"/>
        <w:spacing w:before="240" w:after="240"/>
        <w:ind w:firstLine="420"/>
        <w:rPr>
          <w:rFonts w:ascii="宋体" w:hAnsi="宋体" w:eastAsia="宋体" w:cs="宋体"/>
          <w:highlight w:val="none"/>
        </w:rPr>
      </w:pPr>
      <w:r>
        <w:rPr>
          <w:rFonts w:ascii="宋体" w:hAnsi="宋体" w:eastAsia="宋体" w:cs="宋体"/>
          <w:highlight w:val="none"/>
        </w:rPr>
        <w:t>7．我方承诺响应文件及所有材料的完整、真实、合法、有效，并对其负责。承诺在磋商期间，如磋商小组对我方提出澄清要求，将及时作出响应，否则自行承担后果。</w:t>
      </w:r>
    </w:p>
    <w:p w14:paraId="658855F2">
      <w:pPr>
        <w:pStyle w:val="271"/>
        <w:spacing w:before="240" w:after="240"/>
        <w:ind w:firstLine="420"/>
        <w:rPr>
          <w:rFonts w:ascii="宋体" w:hAnsi="宋体" w:eastAsia="宋体" w:cs="宋体"/>
          <w:highlight w:val="none"/>
        </w:rPr>
      </w:pPr>
      <w:r>
        <w:rPr>
          <w:rFonts w:ascii="宋体" w:hAnsi="宋体" w:eastAsia="宋体" w:cs="宋体"/>
          <w:highlight w:val="none"/>
        </w:rPr>
        <w:t>8．我方同意从规定的磋商日期起遵循本磋商文件，并在规定的磋商有效期期满之前均具有约束力。</w:t>
      </w:r>
    </w:p>
    <w:p w14:paraId="031D1516">
      <w:pPr>
        <w:pStyle w:val="271"/>
        <w:spacing w:before="240" w:after="240"/>
        <w:ind w:firstLine="420"/>
        <w:rPr>
          <w:rFonts w:ascii="宋体" w:hAnsi="宋体" w:eastAsia="宋体" w:cs="宋体"/>
          <w:highlight w:val="none"/>
        </w:rPr>
      </w:pPr>
      <w:r>
        <w:rPr>
          <w:rFonts w:ascii="宋体" w:hAnsi="宋体" w:eastAsia="宋体" w:cs="宋体"/>
          <w:highlight w:val="none"/>
        </w:rPr>
        <w:t>9．我方同意向贵方提供贵方可能要求的与本磋商有关的任何证据或资料。</w:t>
      </w:r>
    </w:p>
    <w:p w14:paraId="4C7FB40F">
      <w:pPr>
        <w:pStyle w:val="271"/>
        <w:spacing w:before="240" w:after="240"/>
        <w:ind w:firstLine="420"/>
        <w:rPr>
          <w:rFonts w:ascii="宋体" w:hAnsi="宋体" w:eastAsia="宋体" w:cs="宋体"/>
          <w:highlight w:val="none"/>
        </w:rPr>
      </w:pPr>
      <w:r>
        <w:rPr>
          <w:rFonts w:ascii="宋体" w:hAnsi="宋体" w:eastAsia="宋体" w:cs="宋体"/>
          <w:highlight w:val="none"/>
        </w:rPr>
        <w:t>10.我方知道如用虚假材料或恶意方式向贵方提出质疑，将承担相应的法律责任。同时承诺：我方如果有上述行为，将无条件承担贵方相关的调查论证费用。</w:t>
      </w:r>
    </w:p>
    <w:p w14:paraId="6D4EFC60">
      <w:pPr>
        <w:pStyle w:val="271"/>
        <w:spacing w:before="240" w:after="240"/>
        <w:ind w:firstLine="420"/>
        <w:rPr>
          <w:rFonts w:ascii="宋体" w:hAnsi="宋体" w:eastAsia="宋体" w:cs="宋体"/>
          <w:highlight w:val="none"/>
        </w:rPr>
      </w:pPr>
      <w:r>
        <w:rPr>
          <w:rFonts w:ascii="宋体" w:hAnsi="宋体" w:eastAsia="宋体" w:cs="宋体"/>
          <w:highlight w:val="none"/>
        </w:rPr>
        <w:t>11．本次响应文件内容与磋商文件内容偏离见磋商偏离表（如果有）。</w:t>
      </w:r>
    </w:p>
    <w:p w14:paraId="75783BC0">
      <w:pPr>
        <w:pStyle w:val="271"/>
        <w:spacing w:before="240" w:after="240"/>
        <w:ind w:firstLine="420"/>
        <w:rPr>
          <w:rFonts w:ascii="宋体" w:hAnsi="宋体" w:eastAsia="宋体" w:cs="宋体"/>
          <w:highlight w:val="none"/>
        </w:rPr>
      </w:pPr>
      <w:r>
        <w:rPr>
          <w:rFonts w:ascii="宋体" w:hAnsi="宋体" w:eastAsia="宋体" w:cs="宋体"/>
          <w:highlight w:val="none"/>
        </w:rPr>
        <w:t>12．遵守磋商文件中要求的收费项目和标准。</w:t>
      </w:r>
    </w:p>
    <w:p w14:paraId="3F7D83BA">
      <w:pPr>
        <w:pStyle w:val="271"/>
        <w:spacing w:before="240" w:after="240"/>
        <w:ind w:firstLine="420"/>
        <w:rPr>
          <w:rFonts w:ascii="宋体" w:hAnsi="宋体" w:eastAsia="宋体" w:cs="宋体"/>
          <w:highlight w:val="none"/>
        </w:rPr>
      </w:pPr>
      <w:r>
        <w:rPr>
          <w:rFonts w:ascii="宋体" w:hAnsi="宋体" w:eastAsia="宋体" w:cs="宋体"/>
          <w:highlight w:val="none"/>
        </w:rPr>
        <w:t>13．我方将严格遵守《中华人民共和国政府采购法》，若存在违法违规行为，自愿承担相应的法律后果。</w:t>
      </w:r>
    </w:p>
    <w:p w14:paraId="1EBD1E95">
      <w:pPr>
        <w:pStyle w:val="271"/>
        <w:spacing w:before="240" w:after="240"/>
        <w:ind w:firstLine="420"/>
        <w:rPr>
          <w:rFonts w:ascii="宋体" w:hAnsi="宋体" w:eastAsia="宋体" w:cs="宋体"/>
          <w:highlight w:val="none"/>
        </w:rPr>
      </w:pPr>
      <w:r>
        <w:rPr>
          <w:rFonts w:ascii="宋体" w:hAnsi="宋体" w:eastAsia="宋体" w:cs="宋体"/>
          <w:highlight w:val="none"/>
        </w:rPr>
        <w:t>14．与本磋商有关的一切正式往来通讯请寄：</w:t>
      </w:r>
    </w:p>
    <w:p w14:paraId="35B417CA">
      <w:pPr>
        <w:pStyle w:val="271"/>
        <w:spacing w:before="240" w:after="240"/>
        <w:ind w:firstLine="3000"/>
        <w:rPr>
          <w:rFonts w:ascii="宋体" w:hAnsi="宋体" w:eastAsia="宋体" w:cs="宋体"/>
          <w:highlight w:val="none"/>
        </w:rPr>
      </w:pPr>
      <w:r>
        <w:rPr>
          <w:rFonts w:ascii="宋体" w:hAnsi="宋体" w:eastAsia="宋体" w:cs="宋体"/>
          <w:highlight w:val="none"/>
        </w:rPr>
        <w:t>地址：    电话：   </w:t>
      </w:r>
    </w:p>
    <w:p w14:paraId="7D819018">
      <w:pPr>
        <w:pStyle w:val="271"/>
        <w:spacing w:before="240" w:after="240"/>
        <w:ind w:firstLine="3000"/>
        <w:rPr>
          <w:rFonts w:ascii="宋体" w:hAnsi="宋体" w:eastAsia="宋体" w:cs="宋体"/>
          <w:highlight w:val="none"/>
        </w:rPr>
      </w:pPr>
      <w:r>
        <w:rPr>
          <w:rFonts w:ascii="宋体" w:hAnsi="宋体" w:eastAsia="宋体" w:cs="宋体"/>
          <w:highlight w:val="none"/>
        </w:rPr>
        <w:t xml:space="preserve">传真：    邮政编码：    </w:t>
      </w:r>
    </w:p>
    <w:p w14:paraId="554285B8">
      <w:pPr>
        <w:pStyle w:val="271"/>
        <w:spacing w:before="240" w:after="240"/>
        <w:ind w:firstLine="3000"/>
        <w:rPr>
          <w:rFonts w:ascii="宋体" w:hAnsi="宋体" w:eastAsia="宋体" w:cs="宋体"/>
          <w:highlight w:val="none"/>
        </w:rPr>
      </w:pPr>
      <w:r>
        <w:rPr>
          <w:rFonts w:ascii="宋体" w:hAnsi="宋体" w:eastAsia="宋体" w:cs="宋体"/>
          <w:highlight w:val="none"/>
        </w:rPr>
        <w:t>供应商（公章）：   </w:t>
      </w:r>
    </w:p>
    <w:p w14:paraId="53704822">
      <w:pPr>
        <w:pStyle w:val="271"/>
        <w:spacing w:before="240" w:after="240"/>
        <w:ind w:firstLine="3000"/>
        <w:rPr>
          <w:rFonts w:ascii="宋体" w:hAnsi="宋体" w:eastAsia="宋体" w:cs="宋体"/>
          <w:highlight w:val="none"/>
        </w:rPr>
      </w:pPr>
      <w:r>
        <w:rPr>
          <w:rFonts w:ascii="宋体" w:hAnsi="宋体" w:eastAsia="宋体" w:cs="宋体"/>
          <w:highlight w:val="none"/>
        </w:rPr>
        <w:t>法定代表人签章：   </w:t>
      </w:r>
    </w:p>
    <w:p w14:paraId="4D905FCC">
      <w:pPr>
        <w:pStyle w:val="271"/>
        <w:spacing w:before="240" w:after="240"/>
        <w:ind w:firstLine="3000"/>
        <w:rPr>
          <w:rFonts w:ascii="宋体" w:hAnsi="宋体" w:eastAsia="宋体" w:cs="宋体"/>
          <w:highlight w:val="none"/>
        </w:rPr>
      </w:pPr>
      <w:r>
        <w:rPr>
          <w:rFonts w:ascii="宋体" w:hAnsi="宋体" w:eastAsia="宋体" w:cs="宋体"/>
          <w:highlight w:val="none"/>
        </w:rPr>
        <w:t>日 期：   </w:t>
      </w:r>
    </w:p>
    <w:p w14:paraId="53BCB7E0">
      <w:pPr>
        <w:pStyle w:val="272"/>
        <w:jc w:val="center"/>
        <w:outlineLvl w:val="2"/>
        <w:rPr>
          <w:highlight w:val="none"/>
        </w:rPr>
      </w:pPr>
      <w:r>
        <w:rPr>
          <w:highlight w:val="none"/>
        </w:rPr>
        <w:br w:type="page" w:clear="all"/>
      </w:r>
      <w:bookmarkStart w:id="320" w:name="_Toc22180"/>
      <w:r>
        <w:rPr>
          <w:rFonts w:ascii="宋体" w:hAnsi="宋体" w:eastAsia="宋体" w:cs="宋体"/>
          <w:sz w:val="28"/>
          <w:highlight w:val="none"/>
        </w:rPr>
        <w:t>(二)独立承担民事责任的能力</w:t>
      </w:r>
      <w:bookmarkEnd w:id="320"/>
    </w:p>
    <w:p w14:paraId="595EEFA4">
      <w:pPr>
        <w:pStyle w:val="273"/>
        <w:jc w:val="center"/>
        <w:outlineLvl w:val="2"/>
        <w:rPr>
          <w:highlight w:val="none"/>
        </w:rPr>
      </w:pPr>
      <w:r>
        <w:rPr>
          <w:highlight w:val="none"/>
        </w:rPr>
        <w:br w:type="page" w:clear="all"/>
      </w:r>
      <w:bookmarkStart w:id="321" w:name="_Toc22633"/>
      <w:r>
        <w:rPr>
          <w:rFonts w:ascii="宋体" w:hAnsi="宋体" w:eastAsia="宋体" w:cs="宋体"/>
          <w:sz w:val="28"/>
          <w:highlight w:val="none"/>
        </w:rPr>
        <w:t>(三)良好的商业信誉和健全的财务会计制度</w:t>
      </w:r>
      <w:bookmarkEnd w:id="321"/>
    </w:p>
    <w:p w14:paraId="759070B8">
      <w:pPr>
        <w:pStyle w:val="274"/>
        <w:jc w:val="center"/>
        <w:outlineLvl w:val="2"/>
        <w:rPr>
          <w:highlight w:val="none"/>
        </w:rPr>
      </w:pPr>
      <w:r>
        <w:rPr>
          <w:highlight w:val="none"/>
        </w:rPr>
        <w:br w:type="page" w:clear="all"/>
      </w:r>
      <w:bookmarkStart w:id="322" w:name="_Toc21963"/>
      <w:r>
        <w:rPr>
          <w:rFonts w:ascii="宋体" w:hAnsi="宋体" w:eastAsia="宋体" w:cs="宋体"/>
          <w:sz w:val="28"/>
          <w:highlight w:val="none"/>
        </w:rPr>
        <w:t>(四)履行合同所必需的设备和专业技术能力</w:t>
      </w:r>
      <w:bookmarkEnd w:id="322"/>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
        <w:gridCol w:w="1176"/>
        <w:gridCol w:w="741"/>
        <w:gridCol w:w="1641"/>
        <w:gridCol w:w="1098"/>
        <w:gridCol w:w="572"/>
        <w:gridCol w:w="405"/>
        <w:gridCol w:w="754"/>
        <w:gridCol w:w="2256"/>
      </w:tblGrid>
      <w:tr w14:paraId="65DDA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5" w:type="dxa"/>
            <w:shd w:val="clear" w:color="auto" w:fill="D9D9D9"/>
            <w:noWrap w:val="0"/>
            <w:vAlign w:val="center"/>
          </w:tcPr>
          <w:p w14:paraId="6B6D5A88">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一</w:t>
            </w:r>
          </w:p>
        </w:tc>
        <w:tc>
          <w:tcPr>
            <w:tcW w:w="8403" w:type="dxa"/>
            <w:gridSpan w:val="8"/>
            <w:shd w:val="clear" w:color="auto" w:fill="D9D9D9"/>
            <w:noWrap w:val="0"/>
            <w:vAlign w:val="center"/>
          </w:tcPr>
          <w:p w14:paraId="1FDE1D87">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公司基本信息</w:t>
            </w:r>
          </w:p>
        </w:tc>
      </w:tr>
      <w:tr w14:paraId="0A378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5" w:type="dxa"/>
            <w:noWrap w:val="0"/>
            <w:vAlign w:val="center"/>
          </w:tcPr>
          <w:p w14:paraId="5F602ED4">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1</w:t>
            </w:r>
          </w:p>
        </w:tc>
        <w:tc>
          <w:tcPr>
            <w:tcW w:w="737" w:type="dxa"/>
            <w:noWrap w:val="0"/>
            <w:vAlign w:val="center"/>
          </w:tcPr>
          <w:p w14:paraId="17EC1953">
            <w:pPr>
              <w:pStyle w:val="275"/>
              <w:spacing w:line="360" w:lineRule="auto"/>
              <w:rPr>
                <w:rFonts w:ascii="宋体" w:hAnsi="宋体"/>
                <w:color w:val="000000"/>
                <w:sz w:val="24"/>
                <w:szCs w:val="20"/>
                <w:highlight w:val="none"/>
              </w:rPr>
            </w:pPr>
            <w:r>
              <w:rPr>
                <w:rFonts w:hint="eastAsia" w:ascii="宋体" w:hAnsi="宋体"/>
                <w:color w:val="000000"/>
                <w:sz w:val="24"/>
                <w:szCs w:val="20"/>
                <w:highlight w:val="none"/>
              </w:rPr>
              <w:t>公司名称</w:t>
            </w:r>
          </w:p>
        </w:tc>
        <w:tc>
          <w:tcPr>
            <w:tcW w:w="6991" w:type="dxa"/>
            <w:gridSpan w:val="7"/>
            <w:noWrap w:val="0"/>
            <w:vAlign w:val="center"/>
          </w:tcPr>
          <w:p w14:paraId="5F5F5A3F">
            <w:pPr>
              <w:pStyle w:val="275"/>
              <w:spacing w:line="360" w:lineRule="auto"/>
              <w:jc w:val="center"/>
              <w:rPr>
                <w:rFonts w:ascii="宋体" w:hAnsi="宋体"/>
                <w:color w:val="000000"/>
                <w:sz w:val="24"/>
                <w:szCs w:val="20"/>
                <w:highlight w:val="none"/>
              </w:rPr>
            </w:pPr>
          </w:p>
        </w:tc>
      </w:tr>
      <w:tr w14:paraId="31706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615" w:type="dxa"/>
            <w:noWrap w:val="0"/>
            <w:vAlign w:val="center"/>
          </w:tcPr>
          <w:p w14:paraId="5C201D62">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2</w:t>
            </w:r>
          </w:p>
        </w:tc>
        <w:tc>
          <w:tcPr>
            <w:tcW w:w="737" w:type="dxa"/>
            <w:noWrap w:val="0"/>
            <w:vAlign w:val="center"/>
          </w:tcPr>
          <w:p w14:paraId="7B29CBD4">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注册资金</w:t>
            </w:r>
          </w:p>
        </w:tc>
        <w:tc>
          <w:tcPr>
            <w:tcW w:w="819" w:type="dxa"/>
            <w:noWrap w:val="0"/>
            <w:vAlign w:val="center"/>
          </w:tcPr>
          <w:p w14:paraId="16A683CC">
            <w:pPr>
              <w:pStyle w:val="275"/>
              <w:spacing w:line="360" w:lineRule="auto"/>
              <w:jc w:val="center"/>
              <w:rPr>
                <w:rFonts w:ascii="宋体" w:hAnsi="宋体"/>
                <w:color w:val="000000"/>
                <w:sz w:val="24"/>
                <w:szCs w:val="20"/>
                <w:highlight w:val="none"/>
              </w:rPr>
            </w:pPr>
          </w:p>
        </w:tc>
        <w:tc>
          <w:tcPr>
            <w:tcW w:w="814" w:type="dxa"/>
            <w:noWrap w:val="0"/>
            <w:vAlign w:val="center"/>
          </w:tcPr>
          <w:p w14:paraId="34A94989">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3</w:t>
            </w:r>
          </w:p>
        </w:tc>
        <w:tc>
          <w:tcPr>
            <w:tcW w:w="2215" w:type="dxa"/>
            <w:gridSpan w:val="3"/>
            <w:noWrap w:val="0"/>
            <w:vAlign w:val="center"/>
          </w:tcPr>
          <w:p w14:paraId="5A9199E2">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公司地址</w:t>
            </w:r>
          </w:p>
        </w:tc>
        <w:tc>
          <w:tcPr>
            <w:tcW w:w="2392" w:type="dxa"/>
            <w:gridSpan w:val="2"/>
            <w:noWrap w:val="0"/>
            <w:vAlign w:val="center"/>
          </w:tcPr>
          <w:p w14:paraId="0837D330">
            <w:pPr>
              <w:pStyle w:val="275"/>
              <w:spacing w:line="360" w:lineRule="auto"/>
              <w:jc w:val="center"/>
              <w:rPr>
                <w:rFonts w:ascii="宋体" w:hAnsi="宋体"/>
                <w:color w:val="000000"/>
                <w:sz w:val="24"/>
                <w:szCs w:val="20"/>
                <w:highlight w:val="none"/>
              </w:rPr>
            </w:pPr>
          </w:p>
        </w:tc>
      </w:tr>
      <w:tr w14:paraId="4AC38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615" w:type="dxa"/>
            <w:noWrap w:val="0"/>
            <w:vAlign w:val="center"/>
          </w:tcPr>
          <w:p w14:paraId="0C447930">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4</w:t>
            </w:r>
          </w:p>
        </w:tc>
        <w:tc>
          <w:tcPr>
            <w:tcW w:w="737" w:type="dxa"/>
            <w:noWrap w:val="0"/>
            <w:vAlign w:val="center"/>
          </w:tcPr>
          <w:p w14:paraId="2E5575EB">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从业人数</w:t>
            </w:r>
          </w:p>
        </w:tc>
        <w:tc>
          <w:tcPr>
            <w:tcW w:w="819" w:type="dxa"/>
            <w:noWrap w:val="0"/>
            <w:vAlign w:val="center"/>
          </w:tcPr>
          <w:p w14:paraId="41FC5453">
            <w:pPr>
              <w:pStyle w:val="275"/>
              <w:spacing w:line="360" w:lineRule="auto"/>
              <w:jc w:val="center"/>
              <w:rPr>
                <w:rFonts w:ascii="宋体" w:hAnsi="宋体"/>
                <w:color w:val="000000"/>
                <w:sz w:val="24"/>
                <w:szCs w:val="20"/>
                <w:highlight w:val="none"/>
              </w:rPr>
            </w:pPr>
          </w:p>
        </w:tc>
        <w:tc>
          <w:tcPr>
            <w:tcW w:w="814" w:type="dxa"/>
            <w:noWrap w:val="0"/>
            <w:vAlign w:val="center"/>
          </w:tcPr>
          <w:p w14:paraId="25C28244">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5</w:t>
            </w:r>
          </w:p>
        </w:tc>
        <w:tc>
          <w:tcPr>
            <w:tcW w:w="2215" w:type="dxa"/>
            <w:gridSpan w:val="3"/>
            <w:noWrap w:val="0"/>
            <w:vAlign w:val="center"/>
          </w:tcPr>
          <w:p w14:paraId="3D8AF573">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法定代表人</w:t>
            </w:r>
          </w:p>
        </w:tc>
        <w:tc>
          <w:tcPr>
            <w:tcW w:w="2392" w:type="dxa"/>
            <w:gridSpan w:val="2"/>
            <w:noWrap w:val="0"/>
            <w:vAlign w:val="center"/>
          </w:tcPr>
          <w:p w14:paraId="539CCFB0">
            <w:pPr>
              <w:pStyle w:val="275"/>
              <w:spacing w:line="360" w:lineRule="auto"/>
              <w:jc w:val="center"/>
              <w:rPr>
                <w:rFonts w:ascii="宋体" w:hAnsi="宋体"/>
                <w:color w:val="000000"/>
                <w:sz w:val="24"/>
                <w:szCs w:val="20"/>
                <w:highlight w:val="none"/>
              </w:rPr>
            </w:pPr>
          </w:p>
        </w:tc>
      </w:tr>
      <w:tr w14:paraId="03A4B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noWrap w:val="0"/>
            <w:vAlign w:val="center"/>
          </w:tcPr>
          <w:p w14:paraId="0B7DA621">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6</w:t>
            </w:r>
          </w:p>
        </w:tc>
        <w:tc>
          <w:tcPr>
            <w:tcW w:w="737" w:type="dxa"/>
            <w:noWrap w:val="0"/>
            <w:vAlign w:val="center"/>
          </w:tcPr>
          <w:p w14:paraId="26117E85">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开户银行</w:t>
            </w:r>
          </w:p>
        </w:tc>
        <w:tc>
          <w:tcPr>
            <w:tcW w:w="819" w:type="dxa"/>
            <w:noWrap w:val="0"/>
            <w:vAlign w:val="center"/>
          </w:tcPr>
          <w:p w14:paraId="160E0E19">
            <w:pPr>
              <w:pStyle w:val="275"/>
              <w:spacing w:line="360" w:lineRule="auto"/>
              <w:jc w:val="center"/>
              <w:rPr>
                <w:rFonts w:ascii="宋体" w:hAnsi="宋体"/>
                <w:color w:val="000000"/>
                <w:sz w:val="24"/>
                <w:szCs w:val="20"/>
                <w:highlight w:val="none"/>
              </w:rPr>
            </w:pPr>
          </w:p>
        </w:tc>
        <w:tc>
          <w:tcPr>
            <w:tcW w:w="814" w:type="dxa"/>
            <w:noWrap w:val="0"/>
            <w:vAlign w:val="center"/>
          </w:tcPr>
          <w:p w14:paraId="3DFC8FD3">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7</w:t>
            </w:r>
          </w:p>
        </w:tc>
        <w:tc>
          <w:tcPr>
            <w:tcW w:w="2215" w:type="dxa"/>
            <w:gridSpan w:val="3"/>
            <w:noWrap w:val="0"/>
            <w:vAlign w:val="center"/>
          </w:tcPr>
          <w:p w14:paraId="47F2A276">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账号</w:t>
            </w:r>
          </w:p>
        </w:tc>
        <w:tc>
          <w:tcPr>
            <w:tcW w:w="2392" w:type="dxa"/>
            <w:gridSpan w:val="2"/>
            <w:noWrap w:val="0"/>
            <w:vAlign w:val="center"/>
          </w:tcPr>
          <w:p w14:paraId="0A9B5E09">
            <w:pPr>
              <w:pStyle w:val="275"/>
              <w:spacing w:line="360" w:lineRule="auto"/>
              <w:jc w:val="center"/>
              <w:rPr>
                <w:rFonts w:ascii="宋体" w:hAnsi="宋体"/>
                <w:color w:val="000000"/>
                <w:sz w:val="24"/>
                <w:szCs w:val="20"/>
                <w:highlight w:val="none"/>
              </w:rPr>
            </w:pPr>
          </w:p>
        </w:tc>
      </w:tr>
      <w:tr w14:paraId="53620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noWrap w:val="0"/>
            <w:vAlign w:val="center"/>
          </w:tcPr>
          <w:p w14:paraId="1DAF47B0">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8</w:t>
            </w:r>
          </w:p>
        </w:tc>
        <w:tc>
          <w:tcPr>
            <w:tcW w:w="737" w:type="dxa"/>
            <w:noWrap w:val="0"/>
            <w:vAlign w:val="center"/>
          </w:tcPr>
          <w:p w14:paraId="4DA57FF4">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项目联系人</w:t>
            </w:r>
          </w:p>
        </w:tc>
        <w:tc>
          <w:tcPr>
            <w:tcW w:w="819" w:type="dxa"/>
            <w:noWrap w:val="0"/>
            <w:vAlign w:val="center"/>
          </w:tcPr>
          <w:p w14:paraId="2F2D2489">
            <w:pPr>
              <w:pStyle w:val="275"/>
              <w:spacing w:line="360" w:lineRule="auto"/>
              <w:jc w:val="center"/>
              <w:rPr>
                <w:rFonts w:ascii="宋体" w:hAnsi="宋体"/>
                <w:color w:val="000000"/>
                <w:sz w:val="24"/>
                <w:szCs w:val="20"/>
                <w:highlight w:val="none"/>
              </w:rPr>
            </w:pPr>
          </w:p>
        </w:tc>
        <w:tc>
          <w:tcPr>
            <w:tcW w:w="814" w:type="dxa"/>
            <w:noWrap w:val="0"/>
            <w:vAlign w:val="center"/>
          </w:tcPr>
          <w:p w14:paraId="3E6ECEC8">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9</w:t>
            </w:r>
          </w:p>
        </w:tc>
        <w:tc>
          <w:tcPr>
            <w:tcW w:w="2215" w:type="dxa"/>
            <w:gridSpan w:val="3"/>
            <w:noWrap w:val="0"/>
            <w:vAlign w:val="center"/>
          </w:tcPr>
          <w:p w14:paraId="201312A6">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联系电话</w:t>
            </w:r>
          </w:p>
        </w:tc>
        <w:tc>
          <w:tcPr>
            <w:tcW w:w="2392" w:type="dxa"/>
            <w:gridSpan w:val="2"/>
            <w:noWrap w:val="0"/>
            <w:vAlign w:val="center"/>
          </w:tcPr>
          <w:p w14:paraId="41EB493C">
            <w:pPr>
              <w:pStyle w:val="275"/>
              <w:spacing w:line="360" w:lineRule="auto"/>
              <w:jc w:val="center"/>
              <w:rPr>
                <w:rFonts w:ascii="宋体" w:hAnsi="宋体"/>
                <w:color w:val="000000"/>
                <w:sz w:val="24"/>
                <w:szCs w:val="20"/>
                <w:highlight w:val="none"/>
              </w:rPr>
            </w:pPr>
          </w:p>
        </w:tc>
      </w:tr>
      <w:tr w14:paraId="7E135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shd w:val="clear" w:color="auto" w:fill="D9D9D9"/>
            <w:noWrap w:val="0"/>
            <w:vAlign w:val="center"/>
          </w:tcPr>
          <w:p w14:paraId="23F56A0C">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二</w:t>
            </w:r>
          </w:p>
        </w:tc>
        <w:tc>
          <w:tcPr>
            <w:tcW w:w="8403" w:type="dxa"/>
            <w:gridSpan w:val="8"/>
            <w:shd w:val="clear" w:color="auto" w:fill="D9D9D9"/>
            <w:noWrap w:val="0"/>
            <w:vAlign w:val="center"/>
          </w:tcPr>
          <w:p w14:paraId="64336EAB">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公司财务状况</w:t>
            </w:r>
          </w:p>
        </w:tc>
      </w:tr>
      <w:tr w14:paraId="7FABD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noWrap w:val="0"/>
            <w:vAlign w:val="center"/>
          </w:tcPr>
          <w:p w14:paraId="5CAC4B73">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（一）</w:t>
            </w:r>
          </w:p>
        </w:tc>
        <w:tc>
          <w:tcPr>
            <w:tcW w:w="8403" w:type="dxa"/>
            <w:gridSpan w:val="8"/>
            <w:noWrap w:val="0"/>
            <w:vAlign w:val="center"/>
          </w:tcPr>
          <w:p w14:paraId="202E3B4A">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u w:val="single"/>
              </w:rPr>
              <w:t>2</w:t>
            </w:r>
            <w:r>
              <w:rPr>
                <w:rFonts w:ascii="宋体" w:hAnsi="宋体"/>
                <w:b/>
                <w:color w:val="000000"/>
                <w:sz w:val="24"/>
                <w:szCs w:val="20"/>
                <w:highlight w:val="none"/>
                <w:u w:val="single"/>
              </w:rPr>
              <w:t>02</w:t>
            </w:r>
            <w:r>
              <w:rPr>
                <w:rFonts w:hint="eastAsia" w:ascii="宋体" w:hAnsi="宋体"/>
                <w:b/>
                <w:color w:val="000000"/>
                <w:sz w:val="24"/>
                <w:szCs w:val="20"/>
                <w:highlight w:val="none"/>
                <w:u w:val="single"/>
                <w:lang w:val="en-US" w:eastAsia="zh-CN"/>
              </w:rPr>
              <w:t>4</w:t>
            </w:r>
            <w:r>
              <w:rPr>
                <w:rFonts w:hint="eastAsia" w:ascii="宋体" w:hAnsi="宋体"/>
                <w:b/>
                <w:color w:val="000000"/>
                <w:sz w:val="24"/>
                <w:szCs w:val="20"/>
                <w:highlight w:val="none"/>
              </w:rPr>
              <w:t>年度财务状况</w:t>
            </w:r>
          </w:p>
        </w:tc>
      </w:tr>
      <w:tr w14:paraId="33F98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615" w:type="dxa"/>
            <w:noWrap w:val="0"/>
            <w:vAlign w:val="center"/>
          </w:tcPr>
          <w:p w14:paraId="1AA59A18">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1</w:t>
            </w:r>
          </w:p>
        </w:tc>
        <w:tc>
          <w:tcPr>
            <w:tcW w:w="737" w:type="dxa"/>
            <w:noWrap w:val="0"/>
            <w:vAlign w:val="center"/>
          </w:tcPr>
          <w:p w14:paraId="008A59D2">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营业收入（万）：</w:t>
            </w:r>
          </w:p>
        </w:tc>
        <w:tc>
          <w:tcPr>
            <w:tcW w:w="819" w:type="dxa"/>
            <w:noWrap w:val="0"/>
            <w:vAlign w:val="center"/>
          </w:tcPr>
          <w:p w14:paraId="528060C5">
            <w:pPr>
              <w:pStyle w:val="275"/>
              <w:spacing w:line="360" w:lineRule="auto"/>
              <w:jc w:val="center"/>
              <w:rPr>
                <w:rFonts w:ascii="宋体" w:hAnsi="宋体"/>
                <w:color w:val="000000"/>
                <w:sz w:val="24"/>
                <w:szCs w:val="20"/>
                <w:highlight w:val="none"/>
              </w:rPr>
            </w:pPr>
          </w:p>
        </w:tc>
        <w:tc>
          <w:tcPr>
            <w:tcW w:w="814" w:type="dxa"/>
            <w:noWrap w:val="0"/>
            <w:vAlign w:val="center"/>
          </w:tcPr>
          <w:p w14:paraId="51BB8C1C">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2</w:t>
            </w:r>
          </w:p>
        </w:tc>
        <w:tc>
          <w:tcPr>
            <w:tcW w:w="2215" w:type="dxa"/>
            <w:gridSpan w:val="3"/>
            <w:noWrap w:val="0"/>
            <w:vAlign w:val="center"/>
          </w:tcPr>
          <w:p w14:paraId="7F9A2213">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利润总额（万）</w:t>
            </w:r>
          </w:p>
        </w:tc>
        <w:tc>
          <w:tcPr>
            <w:tcW w:w="2392" w:type="dxa"/>
            <w:gridSpan w:val="2"/>
            <w:noWrap w:val="0"/>
            <w:vAlign w:val="center"/>
          </w:tcPr>
          <w:p w14:paraId="14D0C851">
            <w:pPr>
              <w:pStyle w:val="275"/>
              <w:spacing w:line="360" w:lineRule="auto"/>
              <w:jc w:val="center"/>
              <w:rPr>
                <w:rFonts w:ascii="宋体" w:hAnsi="宋体"/>
                <w:color w:val="000000"/>
                <w:sz w:val="24"/>
                <w:szCs w:val="20"/>
                <w:highlight w:val="none"/>
              </w:rPr>
            </w:pPr>
          </w:p>
        </w:tc>
      </w:tr>
      <w:tr w14:paraId="59213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615" w:type="dxa"/>
            <w:noWrap w:val="0"/>
            <w:vAlign w:val="center"/>
          </w:tcPr>
          <w:p w14:paraId="77624A3E">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3</w:t>
            </w:r>
          </w:p>
        </w:tc>
        <w:tc>
          <w:tcPr>
            <w:tcW w:w="737" w:type="dxa"/>
            <w:noWrap w:val="0"/>
            <w:vAlign w:val="center"/>
          </w:tcPr>
          <w:p w14:paraId="673C03A0">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年末“固定资产合计”（万）</w:t>
            </w:r>
          </w:p>
        </w:tc>
        <w:tc>
          <w:tcPr>
            <w:tcW w:w="819" w:type="dxa"/>
            <w:noWrap w:val="0"/>
            <w:vAlign w:val="center"/>
          </w:tcPr>
          <w:p w14:paraId="0A267B5F">
            <w:pPr>
              <w:pStyle w:val="275"/>
              <w:spacing w:line="360" w:lineRule="auto"/>
              <w:jc w:val="center"/>
              <w:rPr>
                <w:rFonts w:ascii="宋体" w:hAnsi="宋体"/>
                <w:color w:val="000000"/>
                <w:sz w:val="24"/>
                <w:szCs w:val="20"/>
                <w:highlight w:val="none"/>
              </w:rPr>
            </w:pPr>
          </w:p>
        </w:tc>
        <w:tc>
          <w:tcPr>
            <w:tcW w:w="814" w:type="dxa"/>
            <w:noWrap w:val="0"/>
            <w:vAlign w:val="center"/>
          </w:tcPr>
          <w:p w14:paraId="54E036D6">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4</w:t>
            </w:r>
          </w:p>
        </w:tc>
        <w:tc>
          <w:tcPr>
            <w:tcW w:w="2215" w:type="dxa"/>
            <w:gridSpan w:val="3"/>
            <w:noWrap w:val="0"/>
            <w:vAlign w:val="center"/>
          </w:tcPr>
          <w:p w14:paraId="023BE30F">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年末“流动资产”余额（万）</w:t>
            </w:r>
          </w:p>
        </w:tc>
        <w:tc>
          <w:tcPr>
            <w:tcW w:w="2392" w:type="dxa"/>
            <w:gridSpan w:val="2"/>
            <w:noWrap w:val="0"/>
            <w:vAlign w:val="center"/>
          </w:tcPr>
          <w:p w14:paraId="030CFDEF">
            <w:pPr>
              <w:pStyle w:val="275"/>
              <w:spacing w:line="360" w:lineRule="auto"/>
              <w:jc w:val="center"/>
              <w:rPr>
                <w:rFonts w:ascii="宋体" w:hAnsi="宋体"/>
                <w:color w:val="000000"/>
                <w:sz w:val="24"/>
                <w:szCs w:val="20"/>
                <w:highlight w:val="none"/>
              </w:rPr>
            </w:pPr>
          </w:p>
        </w:tc>
      </w:tr>
      <w:tr w14:paraId="4815C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615" w:type="dxa"/>
            <w:noWrap w:val="0"/>
            <w:vAlign w:val="center"/>
          </w:tcPr>
          <w:p w14:paraId="5B528BA0">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5</w:t>
            </w:r>
          </w:p>
        </w:tc>
        <w:tc>
          <w:tcPr>
            <w:tcW w:w="737" w:type="dxa"/>
            <w:noWrap w:val="0"/>
            <w:vAlign w:val="center"/>
          </w:tcPr>
          <w:p w14:paraId="1F186DE3">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年末“短期负债”余额（万）</w:t>
            </w:r>
          </w:p>
        </w:tc>
        <w:tc>
          <w:tcPr>
            <w:tcW w:w="819" w:type="dxa"/>
            <w:noWrap w:val="0"/>
            <w:vAlign w:val="center"/>
          </w:tcPr>
          <w:p w14:paraId="43CF23BD">
            <w:pPr>
              <w:pStyle w:val="275"/>
              <w:spacing w:line="360" w:lineRule="auto"/>
              <w:jc w:val="center"/>
              <w:rPr>
                <w:rFonts w:ascii="宋体" w:hAnsi="宋体"/>
                <w:color w:val="000000"/>
                <w:sz w:val="24"/>
                <w:szCs w:val="20"/>
                <w:highlight w:val="none"/>
              </w:rPr>
            </w:pPr>
          </w:p>
        </w:tc>
        <w:tc>
          <w:tcPr>
            <w:tcW w:w="814" w:type="dxa"/>
            <w:noWrap w:val="0"/>
            <w:vAlign w:val="center"/>
          </w:tcPr>
          <w:p w14:paraId="4B78B254">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6</w:t>
            </w:r>
          </w:p>
        </w:tc>
        <w:tc>
          <w:tcPr>
            <w:tcW w:w="2215" w:type="dxa"/>
            <w:gridSpan w:val="3"/>
            <w:noWrap w:val="0"/>
            <w:vAlign w:val="center"/>
          </w:tcPr>
          <w:p w14:paraId="3ED7A34D">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年末“长期负债”余额（万）</w:t>
            </w:r>
          </w:p>
        </w:tc>
        <w:tc>
          <w:tcPr>
            <w:tcW w:w="2392" w:type="dxa"/>
            <w:gridSpan w:val="2"/>
            <w:noWrap w:val="0"/>
            <w:vAlign w:val="center"/>
          </w:tcPr>
          <w:p w14:paraId="6BB2B5AF">
            <w:pPr>
              <w:pStyle w:val="275"/>
              <w:spacing w:line="360" w:lineRule="auto"/>
              <w:jc w:val="center"/>
              <w:rPr>
                <w:rFonts w:ascii="宋体" w:hAnsi="宋体"/>
                <w:color w:val="000000"/>
                <w:sz w:val="24"/>
                <w:szCs w:val="20"/>
                <w:highlight w:val="none"/>
              </w:rPr>
            </w:pPr>
          </w:p>
        </w:tc>
      </w:tr>
      <w:tr w14:paraId="7B3BE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615" w:type="dxa"/>
            <w:noWrap w:val="0"/>
            <w:vAlign w:val="center"/>
          </w:tcPr>
          <w:p w14:paraId="41A8389F">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7</w:t>
            </w:r>
          </w:p>
        </w:tc>
        <w:tc>
          <w:tcPr>
            <w:tcW w:w="737" w:type="dxa"/>
            <w:noWrap w:val="0"/>
            <w:vAlign w:val="center"/>
          </w:tcPr>
          <w:p w14:paraId="64E8973C">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年末“资产总计”余额（万）</w:t>
            </w:r>
          </w:p>
        </w:tc>
        <w:tc>
          <w:tcPr>
            <w:tcW w:w="819" w:type="dxa"/>
            <w:noWrap w:val="0"/>
            <w:vAlign w:val="center"/>
          </w:tcPr>
          <w:p w14:paraId="1480CC2A">
            <w:pPr>
              <w:pStyle w:val="275"/>
              <w:spacing w:line="360" w:lineRule="auto"/>
              <w:jc w:val="center"/>
              <w:rPr>
                <w:rFonts w:ascii="宋体" w:hAnsi="宋体"/>
                <w:color w:val="000000"/>
                <w:sz w:val="24"/>
                <w:szCs w:val="20"/>
                <w:highlight w:val="none"/>
              </w:rPr>
            </w:pPr>
          </w:p>
        </w:tc>
        <w:tc>
          <w:tcPr>
            <w:tcW w:w="814" w:type="dxa"/>
            <w:noWrap w:val="0"/>
            <w:vAlign w:val="center"/>
          </w:tcPr>
          <w:p w14:paraId="5CE48C1A">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8</w:t>
            </w:r>
          </w:p>
        </w:tc>
        <w:tc>
          <w:tcPr>
            <w:tcW w:w="2215" w:type="dxa"/>
            <w:gridSpan w:val="3"/>
            <w:noWrap w:val="0"/>
            <w:vAlign w:val="center"/>
          </w:tcPr>
          <w:p w14:paraId="118FCE32">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年末“货币资金”余额（万）</w:t>
            </w:r>
          </w:p>
        </w:tc>
        <w:tc>
          <w:tcPr>
            <w:tcW w:w="2392" w:type="dxa"/>
            <w:gridSpan w:val="2"/>
            <w:noWrap w:val="0"/>
            <w:vAlign w:val="center"/>
          </w:tcPr>
          <w:p w14:paraId="7CCA70EB">
            <w:pPr>
              <w:pStyle w:val="275"/>
              <w:spacing w:line="360" w:lineRule="auto"/>
              <w:jc w:val="center"/>
              <w:rPr>
                <w:rFonts w:ascii="宋体" w:hAnsi="宋体"/>
                <w:color w:val="000000"/>
                <w:sz w:val="24"/>
                <w:szCs w:val="20"/>
                <w:highlight w:val="none"/>
              </w:rPr>
            </w:pPr>
          </w:p>
        </w:tc>
      </w:tr>
      <w:tr w14:paraId="76BC7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615" w:type="dxa"/>
            <w:shd w:val="clear" w:color="auto" w:fill="D9D9D9"/>
            <w:noWrap w:val="0"/>
            <w:vAlign w:val="center"/>
          </w:tcPr>
          <w:p w14:paraId="5C742C7C">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三</w:t>
            </w:r>
          </w:p>
        </w:tc>
        <w:tc>
          <w:tcPr>
            <w:tcW w:w="8403" w:type="dxa"/>
            <w:gridSpan w:val="8"/>
            <w:shd w:val="clear" w:color="auto" w:fill="D9D9D9"/>
            <w:noWrap w:val="0"/>
            <w:vAlign w:val="center"/>
          </w:tcPr>
          <w:p w14:paraId="158B49D5">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供应商其他信息</w:t>
            </w:r>
          </w:p>
        </w:tc>
      </w:tr>
      <w:tr w14:paraId="5D143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15" w:type="dxa"/>
            <w:noWrap w:val="0"/>
            <w:vAlign w:val="center"/>
          </w:tcPr>
          <w:p w14:paraId="0028D788">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（一）</w:t>
            </w:r>
          </w:p>
        </w:tc>
        <w:tc>
          <w:tcPr>
            <w:tcW w:w="737" w:type="dxa"/>
            <w:noWrap w:val="0"/>
            <w:vAlign w:val="center"/>
          </w:tcPr>
          <w:p w14:paraId="0F275E30">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公司取得的相关资质及等级：</w:t>
            </w:r>
          </w:p>
        </w:tc>
        <w:tc>
          <w:tcPr>
            <w:tcW w:w="6991" w:type="dxa"/>
            <w:gridSpan w:val="7"/>
            <w:noWrap w:val="0"/>
            <w:vAlign w:val="center"/>
          </w:tcPr>
          <w:p w14:paraId="4B42D3B5">
            <w:pPr>
              <w:pStyle w:val="275"/>
              <w:spacing w:line="360" w:lineRule="auto"/>
              <w:jc w:val="center"/>
              <w:rPr>
                <w:rFonts w:ascii="宋体" w:hAnsi="宋体"/>
                <w:color w:val="000000"/>
                <w:sz w:val="24"/>
                <w:szCs w:val="20"/>
                <w:highlight w:val="none"/>
              </w:rPr>
            </w:pPr>
          </w:p>
        </w:tc>
      </w:tr>
      <w:tr w14:paraId="4F685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615" w:type="dxa"/>
            <w:noWrap w:val="0"/>
            <w:vAlign w:val="center"/>
          </w:tcPr>
          <w:p w14:paraId="01408955">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（二）</w:t>
            </w:r>
          </w:p>
        </w:tc>
        <w:tc>
          <w:tcPr>
            <w:tcW w:w="737" w:type="dxa"/>
            <w:noWrap w:val="0"/>
            <w:vAlign w:val="center"/>
          </w:tcPr>
          <w:p w14:paraId="096C0BAD">
            <w:pPr>
              <w:pStyle w:val="275"/>
              <w:spacing w:line="360" w:lineRule="auto"/>
              <w:jc w:val="center"/>
              <w:rPr>
                <w:rFonts w:ascii="宋体" w:hAnsi="宋体"/>
                <w:color w:val="000000"/>
                <w:sz w:val="24"/>
                <w:szCs w:val="20"/>
                <w:highlight w:val="none"/>
              </w:rPr>
            </w:pPr>
            <w:r>
              <w:rPr>
                <w:rFonts w:hint="eastAsia" w:ascii="宋体" w:hAnsi="宋体"/>
                <w:color w:val="000000"/>
                <w:sz w:val="24"/>
                <w:szCs w:val="20"/>
                <w:highlight w:val="none"/>
              </w:rPr>
              <w:t>公司获得的荣誉及表彰情况</w:t>
            </w:r>
          </w:p>
        </w:tc>
        <w:tc>
          <w:tcPr>
            <w:tcW w:w="6991" w:type="dxa"/>
            <w:gridSpan w:val="7"/>
            <w:noWrap w:val="0"/>
            <w:vAlign w:val="center"/>
          </w:tcPr>
          <w:p w14:paraId="68005DC3">
            <w:pPr>
              <w:pStyle w:val="275"/>
              <w:spacing w:line="360" w:lineRule="auto"/>
              <w:jc w:val="center"/>
              <w:rPr>
                <w:rFonts w:ascii="宋体" w:hAnsi="宋体"/>
                <w:color w:val="000000"/>
                <w:sz w:val="24"/>
                <w:szCs w:val="20"/>
                <w:highlight w:val="none"/>
              </w:rPr>
            </w:pPr>
          </w:p>
        </w:tc>
      </w:tr>
      <w:tr w14:paraId="0BF47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615" w:type="dxa"/>
            <w:shd w:val="clear" w:color="auto" w:fill="BFBFBF"/>
            <w:noWrap w:val="0"/>
            <w:vAlign w:val="center"/>
          </w:tcPr>
          <w:p w14:paraId="30B7792A">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四</w:t>
            </w:r>
          </w:p>
        </w:tc>
        <w:tc>
          <w:tcPr>
            <w:tcW w:w="8403" w:type="dxa"/>
            <w:gridSpan w:val="8"/>
            <w:shd w:val="clear" w:color="auto" w:fill="BFBFBF"/>
            <w:noWrap w:val="0"/>
            <w:vAlign w:val="center"/>
          </w:tcPr>
          <w:p w14:paraId="68F5B17B">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p>
        </w:tc>
      </w:tr>
      <w:tr w14:paraId="2ADC1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615" w:type="dxa"/>
            <w:shd w:val="clear" w:color="auto" w:fill="FFFFFF"/>
            <w:noWrap w:val="0"/>
            <w:vAlign w:val="center"/>
          </w:tcPr>
          <w:p w14:paraId="2F5716C1">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序号</w:t>
            </w:r>
          </w:p>
        </w:tc>
        <w:tc>
          <w:tcPr>
            <w:tcW w:w="3394" w:type="dxa"/>
            <w:gridSpan w:val="3"/>
            <w:shd w:val="clear" w:color="auto" w:fill="FFFFFF"/>
            <w:noWrap w:val="0"/>
            <w:vAlign w:val="center"/>
          </w:tcPr>
          <w:p w14:paraId="727F216F">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品牌、型号及主要参数配置简述</w:t>
            </w:r>
          </w:p>
        </w:tc>
        <w:tc>
          <w:tcPr>
            <w:tcW w:w="1193" w:type="dxa"/>
            <w:shd w:val="clear" w:color="auto" w:fill="FFFFFF"/>
            <w:noWrap w:val="0"/>
            <w:vAlign w:val="center"/>
          </w:tcPr>
          <w:p w14:paraId="603DE548">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购置年份</w:t>
            </w:r>
          </w:p>
        </w:tc>
        <w:tc>
          <w:tcPr>
            <w:tcW w:w="588" w:type="dxa"/>
            <w:shd w:val="clear" w:color="auto" w:fill="FFFFFF"/>
            <w:noWrap w:val="0"/>
            <w:vAlign w:val="center"/>
          </w:tcPr>
          <w:p w14:paraId="4271FD18">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价格</w:t>
            </w:r>
          </w:p>
        </w:tc>
        <w:tc>
          <w:tcPr>
            <w:tcW w:w="1265" w:type="dxa"/>
            <w:gridSpan w:val="2"/>
            <w:shd w:val="clear" w:color="auto" w:fill="FFFFFF"/>
            <w:noWrap w:val="0"/>
            <w:vAlign w:val="center"/>
          </w:tcPr>
          <w:p w14:paraId="378370A7">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数量</w:t>
            </w:r>
          </w:p>
        </w:tc>
        <w:tc>
          <w:tcPr>
            <w:tcW w:w="743" w:type="dxa"/>
            <w:shd w:val="clear" w:color="auto" w:fill="FFFFFF"/>
            <w:noWrap w:val="0"/>
            <w:vAlign w:val="center"/>
          </w:tcPr>
          <w:p w14:paraId="4CAC8725">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用途</w:t>
            </w:r>
          </w:p>
        </w:tc>
      </w:tr>
      <w:tr w14:paraId="13AED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615" w:type="dxa"/>
            <w:shd w:val="clear" w:color="auto" w:fill="FFFFFF"/>
            <w:noWrap w:val="0"/>
            <w:vAlign w:val="center"/>
          </w:tcPr>
          <w:p w14:paraId="2B9658FE">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1</w:t>
            </w:r>
          </w:p>
        </w:tc>
        <w:tc>
          <w:tcPr>
            <w:tcW w:w="3394" w:type="dxa"/>
            <w:gridSpan w:val="3"/>
            <w:shd w:val="clear" w:color="auto" w:fill="FFFFFF"/>
            <w:noWrap w:val="0"/>
            <w:vAlign w:val="center"/>
          </w:tcPr>
          <w:p w14:paraId="4F2A2DFD">
            <w:pPr>
              <w:pStyle w:val="275"/>
              <w:spacing w:line="360" w:lineRule="auto"/>
              <w:jc w:val="center"/>
              <w:rPr>
                <w:rFonts w:ascii="宋体" w:hAnsi="宋体"/>
                <w:b/>
                <w:color w:val="000000"/>
                <w:sz w:val="24"/>
                <w:szCs w:val="20"/>
                <w:highlight w:val="none"/>
              </w:rPr>
            </w:pPr>
          </w:p>
        </w:tc>
        <w:tc>
          <w:tcPr>
            <w:tcW w:w="1193" w:type="dxa"/>
            <w:shd w:val="clear" w:color="auto" w:fill="FFFFFF"/>
            <w:noWrap w:val="0"/>
            <w:vAlign w:val="center"/>
          </w:tcPr>
          <w:p w14:paraId="3FD39996">
            <w:pPr>
              <w:pStyle w:val="275"/>
              <w:spacing w:line="360" w:lineRule="auto"/>
              <w:jc w:val="center"/>
              <w:rPr>
                <w:rFonts w:ascii="宋体" w:hAnsi="宋体"/>
                <w:b/>
                <w:color w:val="000000"/>
                <w:sz w:val="24"/>
                <w:szCs w:val="20"/>
                <w:highlight w:val="none"/>
              </w:rPr>
            </w:pPr>
          </w:p>
        </w:tc>
        <w:tc>
          <w:tcPr>
            <w:tcW w:w="588" w:type="dxa"/>
            <w:shd w:val="clear" w:color="auto" w:fill="FFFFFF"/>
            <w:noWrap w:val="0"/>
            <w:vAlign w:val="center"/>
          </w:tcPr>
          <w:p w14:paraId="49851431">
            <w:pPr>
              <w:pStyle w:val="275"/>
              <w:spacing w:line="360" w:lineRule="auto"/>
              <w:jc w:val="center"/>
              <w:rPr>
                <w:rFonts w:ascii="宋体" w:hAnsi="宋体"/>
                <w:b/>
                <w:color w:val="000000"/>
                <w:sz w:val="24"/>
                <w:szCs w:val="20"/>
                <w:highlight w:val="none"/>
              </w:rPr>
            </w:pPr>
          </w:p>
        </w:tc>
        <w:tc>
          <w:tcPr>
            <w:tcW w:w="1265" w:type="dxa"/>
            <w:gridSpan w:val="2"/>
            <w:shd w:val="clear" w:color="auto" w:fill="FFFFFF"/>
            <w:noWrap w:val="0"/>
            <w:vAlign w:val="center"/>
          </w:tcPr>
          <w:p w14:paraId="5E7806E6">
            <w:pPr>
              <w:pStyle w:val="275"/>
              <w:spacing w:line="360" w:lineRule="auto"/>
              <w:jc w:val="center"/>
              <w:rPr>
                <w:rFonts w:ascii="宋体" w:hAnsi="宋体"/>
                <w:b/>
                <w:color w:val="000000"/>
                <w:sz w:val="24"/>
                <w:szCs w:val="20"/>
                <w:highlight w:val="none"/>
              </w:rPr>
            </w:pPr>
          </w:p>
        </w:tc>
        <w:tc>
          <w:tcPr>
            <w:tcW w:w="743" w:type="dxa"/>
            <w:shd w:val="clear" w:color="auto" w:fill="FFFFFF"/>
            <w:noWrap w:val="0"/>
            <w:vAlign w:val="center"/>
          </w:tcPr>
          <w:p w14:paraId="5CEA1E0D">
            <w:pPr>
              <w:pStyle w:val="275"/>
              <w:spacing w:line="360" w:lineRule="auto"/>
              <w:jc w:val="center"/>
              <w:rPr>
                <w:rFonts w:ascii="宋体" w:hAnsi="宋体"/>
                <w:b/>
                <w:color w:val="000000"/>
                <w:sz w:val="24"/>
                <w:szCs w:val="20"/>
                <w:highlight w:val="none"/>
              </w:rPr>
            </w:pPr>
          </w:p>
        </w:tc>
      </w:tr>
      <w:tr w14:paraId="69436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615" w:type="dxa"/>
            <w:shd w:val="clear" w:color="auto" w:fill="FFFFFF"/>
            <w:noWrap w:val="0"/>
            <w:vAlign w:val="center"/>
          </w:tcPr>
          <w:p w14:paraId="054ED76A">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2</w:t>
            </w:r>
          </w:p>
        </w:tc>
        <w:tc>
          <w:tcPr>
            <w:tcW w:w="3394" w:type="dxa"/>
            <w:gridSpan w:val="3"/>
            <w:shd w:val="clear" w:color="auto" w:fill="FFFFFF"/>
            <w:noWrap w:val="0"/>
            <w:vAlign w:val="center"/>
          </w:tcPr>
          <w:p w14:paraId="6B74901D">
            <w:pPr>
              <w:pStyle w:val="275"/>
              <w:spacing w:line="360" w:lineRule="auto"/>
              <w:jc w:val="center"/>
              <w:rPr>
                <w:rFonts w:ascii="宋体" w:hAnsi="宋体"/>
                <w:b/>
                <w:color w:val="000000"/>
                <w:sz w:val="24"/>
                <w:szCs w:val="20"/>
                <w:highlight w:val="none"/>
              </w:rPr>
            </w:pPr>
          </w:p>
        </w:tc>
        <w:tc>
          <w:tcPr>
            <w:tcW w:w="1193" w:type="dxa"/>
            <w:shd w:val="clear" w:color="auto" w:fill="FFFFFF"/>
            <w:noWrap w:val="0"/>
            <w:vAlign w:val="center"/>
          </w:tcPr>
          <w:p w14:paraId="708A9AFF">
            <w:pPr>
              <w:pStyle w:val="275"/>
              <w:spacing w:line="360" w:lineRule="auto"/>
              <w:jc w:val="center"/>
              <w:rPr>
                <w:rFonts w:ascii="宋体" w:hAnsi="宋体"/>
                <w:b/>
                <w:color w:val="000000"/>
                <w:sz w:val="24"/>
                <w:szCs w:val="20"/>
                <w:highlight w:val="none"/>
              </w:rPr>
            </w:pPr>
          </w:p>
        </w:tc>
        <w:tc>
          <w:tcPr>
            <w:tcW w:w="588" w:type="dxa"/>
            <w:shd w:val="clear" w:color="auto" w:fill="FFFFFF"/>
            <w:noWrap w:val="0"/>
            <w:vAlign w:val="center"/>
          </w:tcPr>
          <w:p w14:paraId="08F806BD">
            <w:pPr>
              <w:pStyle w:val="275"/>
              <w:spacing w:line="360" w:lineRule="auto"/>
              <w:jc w:val="center"/>
              <w:rPr>
                <w:rFonts w:ascii="宋体" w:hAnsi="宋体"/>
                <w:b/>
                <w:color w:val="000000"/>
                <w:sz w:val="24"/>
                <w:szCs w:val="20"/>
                <w:highlight w:val="none"/>
              </w:rPr>
            </w:pPr>
          </w:p>
        </w:tc>
        <w:tc>
          <w:tcPr>
            <w:tcW w:w="1265" w:type="dxa"/>
            <w:gridSpan w:val="2"/>
            <w:shd w:val="clear" w:color="auto" w:fill="FFFFFF"/>
            <w:noWrap w:val="0"/>
            <w:vAlign w:val="center"/>
          </w:tcPr>
          <w:p w14:paraId="37186DD2">
            <w:pPr>
              <w:pStyle w:val="275"/>
              <w:spacing w:line="360" w:lineRule="auto"/>
              <w:jc w:val="center"/>
              <w:rPr>
                <w:rFonts w:ascii="宋体" w:hAnsi="宋体"/>
                <w:b/>
                <w:color w:val="000000"/>
                <w:sz w:val="24"/>
                <w:szCs w:val="20"/>
                <w:highlight w:val="none"/>
              </w:rPr>
            </w:pPr>
          </w:p>
        </w:tc>
        <w:tc>
          <w:tcPr>
            <w:tcW w:w="743" w:type="dxa"/>
            <w:shd w:val="clear" w:color="auto" w:fill="FFFFFF"/>
            <w:noWrap w:val="0"/>
            <w:vAlign w:val="center"/>
          </w:tcPr>
          <w:p w14:paraId="5EEC6B0A">
            <w:pPr>
              <w:pStyle w:val="275"/>
              <w:spacing w:line="360" w:lineRule="auto"/>
              <w:jc w:val="center"/>
              <w:rPr>
                <w:rFonts w:ascii="宋体" w:hAnsi="宋体"/>
                <w:b/>
                <w:color w:val="000000"/>
                <w:sz w:val="24"/>
                <w:szCs w:val="20"/>
                <w:highlight w:val="none"/>
              </w:rPr>
            </w:pPr>
          </w:p>
        </w:tc>
      </w:tr>
      <w:tr w14:paraId="7F716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615" w:type="dxa"/>
            <w:shd w:val="clear" w:color="auto" w:fill="FFFFFF"/>
            <w:noWrap w:val="0"/>
            <w:vAlign w:val="center"/>
          </w:tcPr>
          <w:p w14:paraId="716EDA3F">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3</w:t>
            </w:r>
          </w:p>
        </w:tc>
        <w:tc>
          <w:tcPr>
            <w:tcW w:w="3394" w:type="dxa"/>
            <w:gridSpan w:val="3"/>
            <w:shd w:val="clear" w:color="auto" w:fill="FFFFFF"/>
            <w:noWrap w:val="0"/>
            <w:vAlign w:val="center"/>
          </w:tcPr>
          <w:p w14:paraId="5BFCD37E">
            <w:pPr>
              <w:pStyle w:val="275"/>
              <w:spacing w:line="360" w:lineRule="auto"/>
              <w:jc w:val="center"/>
              <w:rPr>
                <w:rFonts w:ascii="宋体" w:hAnsi="宋体"/>
                <w:b/>
                <w:color w:val="000000"/>
                <w:sz w:val="24"/>
                <w:szCs w:val="20"/>
                <w:highlight w:val="none"/>
              </w:rPr>
            </w:pPr>
          </w:p>
        </w:tc>
        <w:tc>
          <w:tcPr>
            <w:tcW w:w="1193" w:type="dxa"/>
            <w:shd w:val="clear" w:color="auto" w:fill="FFFFFF"/>
            <w:noWrap w:val="0"/>
            <w:vAlign w:val="center"/>
          </w:tcPr>
          <w:p w14:paraId="72AF4717">
            <w:pPr>
              <w:pStyle w:val="275"/>
              <w:spacing w:line="360" w:lineRule="auto"/>
              <w:jc w:val="center"/>
              <w:rPr>
                <w:rFonts w:ascii="宋体" w:hAnsi="宋体"/>
                <w:b/>
                <w:color w:val="000000"/>
                <w:sz w:val="24"/>
                <w:szCs w:val="20"/>
                <w:highlight w:val="none"/>
              </w:rPr>
            </w:pPr>
          </w:p>
        </w:tc>
        <w:tc>
          <w:tcPr>
            <w:tcW w:w="588" w:type="dxa"/>
            <w:shd w:val="clear" w:color="auto" w:fill="FFFFFF"/>
            <w:noWrap w:val="0"/>
            <w:vAlign w:val="center"/>
          </w:tcPr>
          <w:p w14:paraId="7D769B9B">
            <w:pPr>
              <w:pStyle w:val="275"/>
              <w:spacing w:line="360" w:lineRule="auto"/>
              <w:jc w:val="center"/>
              <w:rPr>
                <w:rFonts w:ascii="宋体" w:hAnsi="宋体"/>
                <w:b/>
                <w:color w:val="000000"/>
                <w:sz w:val="24"/>
                <w:szCs w:val="20"/>
                <w:highlight w:val="none"/>
              </w:rPr>
            </w:pPr>
          </w:p>
        </w:tc>
        <w:tc>
          <w:tcPr>
            <w:tcW w:w="1265" w:type="dxa"/>
            <w:gridSpan w:val="2"/>
            <w:shd w:val="clear" w:color="auto" w:fill="FFFFFF"/>
            <w:noWrap w:val="0"/>
            <w:vAlign w:val="center"/>
          </w:tcPr>
          <w:p w14:paraId="5E60D003">
            <w:pPr>
              <w:pStyle w:val="275"/>
              <w:spacing w:line="360" w:lineRule="auto"/>
              <w:jc w:val="center"/>
              <w:rPr>
                <w:rFonts w:ascii="宋体" w:hAnsi="宋体"/>
                <w:b/>
                <w:color w:val="000000"/>
                <w:sz w:val="24"/>
                <w:szCs w:val="20"/>
                <w:highlight w:val="none"/>
              </w:rPr>
            </w:pPr>
          </w:p>
        </w:tc>
        <w:tc>
          <w:tcPr>
            <w:tcW w:w="743" w:type="dxa"/>
            <w:shd w:val="clear" w:color="auto" w:fill="FFFFFF"/>
            <w:noWrap w:val="0"/>
            <w:vAlign w:val="center"/>
          </w:tcPr>
          <w:p w14:paraId="0A5F20D0">
            <w:pPr>
              <w:pStyle w:val="275"/>
              <w:spacing w:line="360" w:lineRule="auto"/>
              <w:jc w:val="center"/>
              <w:rPr>
                <w:rFonts w:ascii="宋体" w:hAnsi="宋体"/>
                <w:b/>
                <w:color w:val="000000"/>
                <w:sz w:val="24"/>
                <w:szCs w:val="20"/>
                <w:highlight w:val="none"/>
              </w:rPr>
            </w:pPr>
          </w:p>
        </w:tc>
      </w:tr>
      <w:tr w14:paraId="0E9CC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615" w:type="dxa"/>
            <w:shd w:val="clear" w:color="auto" w:fill="FFFFFF"/>
            <w:noWrap w:val="0"/>
            <w:vAlign w:val="center"/>
          </w:tcPr>
          <w:p w14:paraId="58ADCF35">
            <w:pPr>
              <w:pStyle w:val="275"/>
              <w:spacing w:line="360" w:lineRule="auto"/>
              <w:jc w:val="center"/>
              <w:rPr>
                <w:rFonts w:ascii="宋体" w:hAnsi="宋体"/>
                <w:b/>
                <w:color w:val="000000"/>
                <w:sz w:val="24"/>
                <w:szCs w:val="20"/>
                <w:highlight w:val="none"/>
              </w:rPr>
            </w:pPr>
            <w:r>
              <w:rPr>
                <w:rFonts w:ascii="宋体" w:hAnsi="宋体"/>
                <w:b/>
                <w:color w:val="000000"/>
                <w:sz w:val="24"/>
                <w:szCs w:val="20"/>
                <w:highlight w:val="none"/>
              </w:rPr>
              <w:t>…</w:t>
            </w:r>
          </w:p>
        </w:tc>
        <w:tc>
          <w:tcPr>
            <w:tcW w:w="3394" w:type="dxa"/>
            <w:gridSpan w:val="3"/>
            <w:shd w:val="clear" w:color="auto" w:fill="FFFFFF"/>
            <w:noWrap w:val="0"/>
            <w:vAlign w:val="center"/>
          </w:tcPr>
          <w:p w14:paraId="1DFC0348">
            <w:pPr>
              <w:pStyle w:val="275"/>
              <w:spacing w:line="360" w:lineRule="auto"/>
              <w:jc w:val="center"/>
              <w:rPr>
                <w:rFonts w:ascii="宋体" w:hAnsi="宋体"/>
                <w:b/>
                <w:color w:val="000000"/>
                <w:sz w:val="24"/>
                <w:szCs w:val="20"/>
                <w:highlight w:val="none"/>
              </w:rPr>
            </w:pPr>
          </w:p>
        </w:tc>
        <w:tc>
          <w:tcPr>
            <w:tcW w:w="1193" w:type="dxa"/>
            <w:shd w:val="clear" w:color="auto" w:fill="FFFFFF"/>
            <w:noWrap w:val="0"/>
            <w:vAlign w:val="center"/>
          </w:tcPr>
          <w:p w14:paraId="6E4E095B">
            <w:pPr>
              <w:pStyle w:val="275"/>
              <w:spacing w:line="360" w:lineRule="auto"/>
              <w:jc w:val="center"/>
              <w:rPr>
                <w:rFonts w:ascii="宋体" w:hAnsi="宋体"/>
                <w:b/>
                <w:color w:val="000000"/>
                <w:sz w:val="24"/>
                <w:szCs w:val="20"/>
                <w:highlight w:val="none"/>
              </w:rPr>
            </w:pPr>
          </w:p>
        </w:tc>
        <w:tc>
          <w:tcPr>
            <w:tcW w:w="588" w:type="dxa"/>
            <w:shd w:val="clear" w:color="auto" w:fill="FFFFFF"/>
            <w:noWrap w:val="0"/>
            <w:vAlign w:val="center"/>
          </w:tcPr>
          <w:p w14:paraId="75993C44">
            <w:pPr>
              <w:pStyle w:val="275"/>
              <w:spacing w:line="360" w:lineRule="auto"/>
              <w:jc w:val="center"/>
              <w:rPr>
                <w:rFonts w:ascii="宋体" w:hAnsi="宋体"/>
                <w:b/>
                <w:color w:val="000000"/>
                <w:sz w:val="24"/>
                <w:szCs w:val="20"/>
                <w:highlight w:val="none"/>
              </w:rPr>
            </w:pPr>
          </w:p>
        </w:tc>
        <w:tc>
          <w:tcPr>
            <w:tcW w:w="1265" w:type="dxa"/>
            <w:gridSpan w:val="2"/>
            <w:shd w:val="clear" w:color="auto" w:fill="FFFFFF"/>
            <w:noWrap w:val="0"/>
            <w:vAlign w:val="center"/>
          </w:tcPr>
          <w:p w14:paraId="312CEDFE">
            <w:pPr>
              <w:pStyle w:val="275"/>
              <w:spacing w:line="360" w:lineRule="auto"/>
              <w:jc w:val="center"/>
              <w:rPr>
                <w:rFonts w:ascii="宋体" w:hAnsi="宋体"/>
                <w:b/>
                <w:color w:val="000000"/>
                <w:sz w:val="24"/>
                <w:szCs w:val="20"/>
                <w:highlight w:val="none"/>
              </w:rPr>
            </w:pPr>
          </w:p>
        </w:tc>
        <w:tc>
          <w:tcPr>
            <w:tcW w:w="743" w:type="dxa"/>
            <w:shd w:val="clear" w:color="auto" w:fill="FFFFFF"/>
            <w:noWrap w:val="0"/>
            <w:vAlign w:val="center"/>
          </w:tcPr>
          <w:p w14:paraId="28E244C4">
            <w:pPr>
              <w:pStyle w:val="275"/>
              <w:spacing w:line="360" w:lineRule="auto"/>
              <w:jc w:val="center"/>
              <w:rPr>
                <w:rFonts w:ascii="宋体" w:hAnsi="宋体"/>
                <w:b/>
                <w:color w:val="000000"/>
                <w:sz w:val="24"/>
                <w:szCs w:val="20"/>
                <w:highlight w:val="none"/>
              </w:rPr>
            </w:pPr>
          </w:p>
        </w:tc>
      </w:tr>
      <w:tr w14:paraId="053D9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615" w:type="dxa"/>
            <w:shd w:val="clear" w:color="auto" w:fill="BFBFBF"/>
            <w:noWrap w:val="0"/>
            <w:vAlign w:val="center"/>
          </w:tcPr>
          <w:p w14:paraId="57550D12">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五</w:t>
            </w:r>
          </w:p>
        </w:tc>
        <w:tc>
          <w:tcPr>
            <w:tcW w:w="8403" w:type="dxa"/>
            <w:gridSpan w:val="8"/>
            <w:shd w:val="clear" w:color="auto" w:fill="BFBFBF"/>
            <w:noWrap w:val="0"/>
            <w:vAlign w:val="center"/>
          </w:tcPr>
          <w:p w14:paraId="411BCDF7">
            <w:pPr>
              <w:pStyle w:val="275"/>
              <w:spacing w:line="360" w:lineRule="auto"/>
              <w:jc w:val="center"/>
              <w:rPr>
                <w:rFonts w:ascii="宋体" w:hAnsi="宋体"/>
                <w:b/>
                <w:color w:val="000000"/>
                <w:sz w:val="24"/>
                <w:szCs w:val="20"/>
                <w:highlight w:val="none"/>
              </w:rPr>
            </w:pPr>
            <w:r>
              <w:rPr>
                <w:rFonts w:hint="eastAsia" w:ascii="宋体" w:hAnsi="宋体"/>
                <w:b/>
                <w:color w:val="000000"/>
                <w:sz w:val="24"/>
                <w:szCs w:val="20"/>
                <w:highlight w:val="none"/>
              </w:rPr>
              <w:t>提供本项目服务所必须的专业技术能力</w:t>
            </w:r>
          </w:p>
        </w:tc>
      </w:tr>
      <w:tr w14:paraId="44064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582" w:type="dxa"/>
            <w:gridSpan w:val="9"/>
            <w:shd w:val="clear" w:color="auto" w:fill="FFFFFF"/>
            <w:noWrap w:val="0"/>
            <w:vAlign w:val="center"/>
          </w:tcPr>
          <w:p w14:paraId="3C5756E2">
            <w:pPr>
              <w:pStyle w:val="275"/>
              <w:spacing w:line="360" w:lineRule="auto"/>
              <w:jc w:val="center"/>
              <w:rPr>
                <w:rFonts w:ascii="宋体" w:hAnsi="宋体"/>
                <w:b/>
                <w:color w:val="000000"/>
                <w:sz w:val="24"/>
                <w:szCs w:val="20"/>
                <w:highlight w:val="none"/>
              </w:rPr>
            </w:pPr>
          </w:p>
        </w:tc>
      </w:tr>
    </w:tbl>
    <w:p w14:paraId="79F62A8C">
      <w:pPr>
        <w:pStyle w:val="275"/>
        <w:widowControl/>
        <w:spacing w:line="400" w:lineRule="exact"/>
        <w:jc w:val="left"/>
        <w:rPr>
          <w:rFonts w:ascii="宋体" w:hAnsi="宋体"/>
          <w:b/>
          <w:bCs/>
          <w:color w:val="000000"/>
          <w:sz w:val="32"/>
          <w:szCs w:val="32"/>
          <w:highlight w:val="none"/>
        </w:rPr>
      </w:pPr>
    </w:p>
    <w:p w14:paraId="554C5DD1">
      <w:pPr>
        <w:pStyle w:val="275"/>
        <w:spacing w:line="360" w:lineRule="auto"/>
        <w:rPr>
          <w:rFonts w:ascii="宋体" w:hAnsi="宋体"/>
          <w:color w:val="000000"/>
          <w:sz w:val="24"/>
          <w:highlight w:val="none"/>
          <w:u w:val="single"/>
        </w:rPr>
      </w:pPr>
      <w:r>
        <w:rPr>
          <w:rFonts w:hint="eastAsia" w:ascii="宋体" w:hAnsi="宋体"/>
          <w:color w:val="000000"/>
          <w:sz w:val="24"/>
          <w:highlight w:val="none"/>
        </w:rPr>
        <w:t>注：1、</w:t>
      </w:r>
      <w:r>
        <w:rPr>
          <w:rFonts w:hint="eastAsia" w:ascii="宋体" w:hAnsi="宋体"/>
          <w:color w:val="000000"/>
          <w:sz w:val="24"/>
          <w:highlight w:val="none"/>
          <w:u w:val="single"/>
        </w:rPr>
        <w:t>如行数不够请自行添加。</w:t>
      </w:r>
    </w:p>
    <w:p w14:paraId="2BBBA415">
      <w:pPr>
        <w:pStyle w:val="276"/>
        <w:jc w:val="center"/>
        <w:outlineLvl w:val="2"/>
        <w:rPr>
          <w:highlight w:val="none"/>
        </w:rPr>
      </w:pPr>
      <w:r>
        <w:rPr>
          <w:highlight w:val="none"/>
        </w:rPr>
        <w:br w:type="page" w:clear="all"/>
      </w:r>
      <w:bookmarkStart w:id="323" w:name="_Toc27588"/>
      <w:r>
        <w:rPr>
          <w:rFonts w:ascii="宋体" w:hAnsi="宋体" w:eastAsia="宋体" w:cs="宋体"/>
          <w:sz w:val="28"/>
          <w:highlight w:val="none"/>
        </w:rPr>
        <w:t>(五)依法缴纳税收和社会保障资金的良好记录</w:t>
      </w:r>
      <w:bookmarkEnd w:id="323"/>
    </w:p>
    <w:p w14:paraId="3D27EC25">
      <w:pPr>
        <w:pStyle w:val="277"/>
        <w:jc w:val="center"/>
        <w:outlineLvl w:val="2"/>
        <w:rPr>
          <w:highlight w:val="none"/>
        </w:rPr>
      </w:pPr>
      <w:r>
        <w:rPr>
          <w:highlight w:val="none"/>
        </w:rPr>
        <w:br w:type="page" w:clear="all"/>
      </w:r>
      <w:bookmarkStart w:id="324" w:name="_Toc31975"/>
      <w:r>
        <w:rPr>
          <w:rFonts w:ascii="宋体" w:hAnsi="宋体" w:eastAsia="宋体" w:cs="宋体"/>
          <w:sz w:val="28"/>
          <w:highlight w:val="none"/>
        </w:rPr>
        <w:t>(六)法律、行政法规规定的其他条件</w:t>
      </w:r>
      <w:bookmarkEnd w:id="324"/>
    </w:p>
    <w:p w14:paraId="56D58949">
      <w:pPr>
        <w:pStyle w:val="278"/>
        <w:jc w:val="center"/>
        <w:outlineLvl w:val="2"/>
        <w:rPr>
          <w:highlight w:val="none"/>
        </w:rPr>
      </w:pPr>
    </w:p>
    <w:p w14:paraId="5DDDC13E">
      <w:pPr>
        <w:pStyle w:val="278"/>
        <w:jc w:val="center"/>
        <w:outlineLvl w:val="2"/>
        <w:rPr>
          <w:highlight w:val="none"/>
        </w:rPr>
      </w:pPr>
    </w:p>
    <w:p w14:paraId="05654579">
      <w:pPr>
        <w:pStyle w:val="278"/>
        <w:jc w:val="center"/>
        <w:outlineLvl w:val="2"/>
        <w:rPr>
          <w:rFonts w:ascii="宋体" w:hAnsi="宋体" w:eastAsia="宋体" w:cs="宋体"/>
          <w:sz w:val="28"/>
          <w:highlight w:val="none"/>
        </w:rPr>
      </w:pPr>
      <w:bookmarkStart w:id="325" w:name="_Toc6149"/>
    </w:p>
    <w:p w14:paraId="4133A867">
      <w:pPr>
        <w:pStyle w:val="278"/>
        <w:jc w:val="center"/>
        <w:outlineLvl w:val="2"/>
        <w:rPr>
          <w:rFonts w:ascii="宋体" w:hAnsi="宋体" w:eastAsia="宋体" w:cs="宋体"/>
          <w:sz w:val="28"/>
          <w:highlight w:val="none"/>
        </w:rPr>
      </w:pPr>
    </w:p>
    <w:p w14:paraId="297368AA">
      <w:pPr>
        <w:pStyle w:val="278"/>
        <w:jc w:val="center"/>
        <w:outlineLvl w:val="2"/>
        <w:rPr>
          <w:rFonts w:ascii="宋体" w:hAnsi="宋体" w:eastAsia="宋体" w:cs="宋体"/>
          <w:sz w:val="28"/>
          <w:highlight w:val="none"/>
        </w:rPr>
      </w:pPr>
    </w:p>
    <w:p w14:paraId="136A984A">
      <w:pPr>
        <w:pStyle w:val="278"/>
        <w:jc w:val="center"/>
        <w:outlineLvl w:val="2"/>
        <w:rPr>
          <w:rFonts w:ascii="宋体" w:hAnsi="宋体" w:eastAsia="宋体" w:cs="宋体"/>
          <w:sz w:val="28"/>
          <w:highlight w:val="none"/>
        </w:rPr>
      </w:pPr>
    </w:p>
    <w:p w14:paraId="74D640C4">
      <w:pPr>
        <w:pStyle w:val="278"/>
        <w:jc w:val="center"/>
        <w:outlineLvl w:val="2"/>
        <w:rPr>
          <w:rFonts w:ascii="宋体" w:hAnsi="宋体" w:eastAsia="宋体" w:cs="宋体"/>
          <w:sz w:val="28"/>
          <w:highlight w:val="none"/>
        </w:rPr>
      </w:pPr>
    </w:p>
    <w:p w14:paraId="5F03AFE2">
      <w:pPr>
        <w:pStyle w:val="278"/>
        <w:jc w:val="center"/>
        <w:outlineLvl w:val="2"/>
        <w:rPr>
          <w:rFonts w:ascii="宋体" w:hAnsi="宋体" w:eastAsia="宋体" w:cs="宋体"/>
          <w:sz w:val="28"/>
          <w:highlight w:val="none"/>
        </w:rPr>
      </w:pPr>
    </w:p>
    <w:p w14:paraId="334BDD2E">
      <w:pPr>
        <w:pStyle w:val="278"/>
        <w:jc w:val="center"/>
        <w:outlineLvl w:val="2"/>
        <w:rPr>
          <w:rFonts w:ascii="宋体" w:hAnsi="宋体" w:eastAsia="宋体" w:cs="宋体"/>
          <w:sz w:val="28"/>
          <w:highlight w:val="none"/>
        </w:rPr>
      </w:pPr>
    </w:p>
    <w:p w14:paraId="4C4044EA">
      <w:pPr>
        <w:pStyle w:val="278"/>
        <w:jc w:val="center"/>
        <w:outlineLvl w:val="2"/>
        <w:rPr>
          <w:rFonts w:ascii="宋体" w:hAnsi="宋体" w:eastAsia="宋体" w:cs="宋体"/>
          <w:sz w:val="28"/>
          <w:highlight w:val="none"/>
        </w:rPr>
      </w:pPr>
    </w:p>
    <w:p w14:paraId="18E4B3F8">
      <w:pPr>
        <w:pStyle w:val="278"/>
        <w:jc w:val="center"/>
        <w:outlineLvl w:val="2"/>
        <w:rPr>
          <w:rFonts w:ascii="宋体" w:hAnsi="宋体" w:eastAsia="宋体" w:cs="宋体"/>
          <w:sz w:val="28"/>
          <w:highlight w:val="none"/>
        </w:rPr>
      </w:pPr>
    </w:p>
    <w:p w14:paraId="57AEFFE9">
      <w:pPr>
        <w:pStyle w:val="278"/>
        <w:jc w:val="center"/>
        <w:outlineLvl w:val="2"/>
        <w:rPr>
          <w:rFonts w:ascii="宋体" w:hAnsi="宋体" w:eastAsia="宋体" w:cs="宋体"/>
          <w:sz w:val="28"/>
          <w:highlight w:val="none"/>
        </w:rPr>
      </w:pPr>
    </w:p>
    <w:p w14:paraId="41F8BCA5">
      <w:pPr>
        <w:pStyle w:val="278"/>
        <w:jc w:val="center"/>
        <w:outlineLvl w:val="2"/>
        <w:rPr>
          <w:rFonts w:ascii="宋体" w:hAnsi="宋体" w:eastAsia="宋体" w:cs="宋体"/>
          <w:sz w:val="28"/>
          <w:highlight w:val="none"/>
        </w:rPr>
      </w:pPr>
    </w:p>
    <w:p w14:paraId="7A865904">
      <w:pPr>
        <w:pStyle w:val="278"/>
        <w:jc w:val="center"/>
        <w:outlineLvl w:val="2"/>
        <w:rPr>
          <w:rFonts w:ascii="宋体" w:hAnsi="宋体" w:eastAsia="宋体" w:cs="宋体"/>
          <w:sz w:val="28"/>
          <w:highlight w:val="none"/>
        </w:rPr>
      </w:pPr>
    </w:p>
    <w:p w14:paraId="6D997F99">
      <w:pPr>
        <w:pStyle w:val="278"/>
        <w:jc w:val="center"/>
        <w:outlineLvl w:val="2"/>
        <w:rPr>
          <w:rFonts w:ascii="宋体" w:hAnsi="宋体" w:eastAsia="宋体" w:cs="宋体"/>
          <w:sz w:val="28"/>
          <w:highlight w:val="none"/>
        </w:rPr>
      </w:pPr>
    </w:p>
    <w:p w14:paraId="43EFEC7D">
      <w:pPr>
        <w:pStyle w:val="278"/>
        <w:jc w:val="center"/>
        <w:outlineLvl w:val="2"/>
        <w:rPr>
          <w:rFonts w:ascii="宋体" w:hAnsi="宋体" w:eastAsia="宋体" w:cs="宋体"/>
          <w:sz w:val="28"/>
          <w:highlight w:val="none"/>
        </w:rPr>
      </w:pPr>
    </w:p>
    <w:p w14:paraId="20FC61A8">
      <w:pPr>
        <w:pStyle w:val="278"/>
        <w:jc w:val="center"/>
        <w:outlineLvl w:val="2"/>
        <w:rPr>
          <w:rFonts w:ascii="宋体" w:hAnsi="宋体" w:eastAsia="宋体" w:cs="宋体"/>
          <w:sz w:val="28"/>
          <w:highlight w:val="none"/>
        </w:rPr>
      </w:pPr>
    </w:p>
    <w:p w14:paraId="381AF9AA">
      <w:pPr>
        <w:pStyle w:val="278"/>
        <w:jc w:val="center"/>
        <w:outlineLvl w:val="2"/>
        <w:rPr>
          <w:rFonts w:ascii="宋体" w:hAnsi="宋体" w:eastAsia="宋体" w:cs="宋体"/>
          <w:sz w:val="28"/>
          <w:highlight w:val="none"/>
        </w:rPr>
      </w:pPr>
    </w:p>
    <w:p w14:paraId="4BB310E9">
      <w:pPr>
        <w:pStyle w:val="278"/>
        <w:jc w:val="center"/>
        <w:outlineLvl w:val="2"/>
        <w:rPr>
          <w:rFonts w:ascii="宋体" w:hAnsi="宋体" w:eastAsia="宋体" w:cs="宋体"/>
          <w:sz w:val="28"/>
          <w:highlight w:val="none"/>
        </w:rPr>
      </w:pPr>
    </w:p>
    <w:p w14:paraId="6CA27255">
      <w:pPr>
        <w:pStyle w:val="278"/>
        <w:jc w:val="center"/>
        <w:outlineLvl w:val="2"/>
        <w:rPr>
          <w:rFonts w:ascii="宋体" w:hAnsi="宋体" w:eastAsia="宋体" w:cs="宋体"/>
          <w:sz w:val="28"/>
          <w:highlight w:val="none"/>
        </w:rPr>
      </w:pPr>
    </w:p>
    <w:p w14:paraId="5ECEC1C5">
      <w:pPr>
        <w:pStyle w:val="278"/>
        <w:jc w:val="center"/>
        <w:outlineLvl w:val="2"/>
        <w:rPr>
          <w:rFonts w:ascii="宋体" w:hAnsi="宋体" w:eastAsia="宋体" w:cs="宋体"/>
          <w:sz w:val="28"/>
          <w:highlight w:val="none"/>
        </w:rPr>
      </w:pPr>
    </w:p>
    <w:p w14:paraId="70074C60">
      <w:pPr>
        <w:pStyle w:val="278"/>
        <w:jc w:val="center"/>
        <w:outlineLvl w:val="2"/>
        <w:rPr>
          <w:rFonts w:ascii="宋体" w:hAnsi="宋体" w:eastAsia="宋体" w:cs="宋体"/>
          <w:sz w:val="28"/>
          <w:highlight w:val="none"/>
        </w:rPr>
      </w:pPr>
    </w:p>
    <w:p w14:paraId="523B8C95">
      <w:pPr>
        <w:pStyle w:val="278"/>
        <w:jc w:val="center"/>
        <w:outlineLvl w:val="2"/>
        <w:rPr>
          <w:rFonts w:ascii="宋体" w:hAnsi="宋体" w:eastAsia="宋体" w:cs="宋体"/>
          <w:sz w:val="28"/>
          <w:highlight w:val="none"/>
        </w:rPr>
      </w:pPr>
    </w:p>
    <w:p w14:paraId="65A6AF9F">
      <w:pPr>
        <w:pStyle w:val="278"/>
        <w:jc w:val="center"/>
        <w:outlineLvl w:val="2"/>
        <w:rPr>
          <w:rFonts w:ascii="宋体" w:hAnsi="宋体" w:eastAsia="宋体" w:cs="宋体"/>
          <w:sz w:val="28"/>
          <w:highlight w:val="none"/>
        </w:rPr>
      </w:pPr>
    </w:p>
    <w:p w14:paraId="5146B434">
      <w:pPr>
        <w:pStyle w:val="278"/>
        <w:jc w:val="center"/>
        <w:outlineLvl w:val="2"/>
        <w:rPr>
          <w:rFonts w:ascii="宋体" w:hAnsi="宋体" w:eastAsia="宋体" w:cs="宋体"/>
          <w:sz w:val="28"/>
          <w:highlight w:val="none"/>
        </w:rPr>
      </w:pPr>
    </w:p>
    <w:p w14:paraId="7D260DB4">
      <w:pPr>
        <w:pStyle w:val="278"/>
        <w:jc w:val="center"/>
        <w:outlineLvl w:val="2"/>
        <w:rPr>
          <w:rFonts w:ascii="宋体" w:hAnsi="宋体" w:eastAsia="宋体" w:cs="宋体"/>
          <w:sz w:val="28"/>
          <w:highlight w:val="none"/>
        </w:rPr>
      </w:pPr>
    </w:p>
    <w:p w14:paraId="05790744">
      <w:pPr>
        <w:pStyle w:val="278"/>
        <w:jc w:val="center"/>
        <w:outlineLvl w:val="2"/>
        <w:rPr>
          <w:rFonts w:ascii="宋体" w:hAnsi="宋体" w:eastAsia="宋体" w:cs="宋体"/>
          <w:sz w:val="28"/>
          <w:highlight w:val="none"/>
        </w:rPr>
      </w:pPr>
    </w:p>
    <w:p w14:paraId="6CC63C6B">
      <w:pPr>
        <w:pStyle w:val="278"/>
        <w:jc w:val="center"/>
        <w:outlineLvl w:val="2"/>
        <w:rPr>
          <w:rFonts w:ascii="宋体" w:hAnsi="宋体" w:eastAsia="宋体" w:cs="宋体"/>
          <w:sz w:val="28"/>
          <w:highlight w:val="none"/>
        </w:rPr>
      </w:pPr>
    </w:p>
    <w:p w14:paraId="158C336E">
      <w:pPr>
        <w:pStyle w:val="278"/>
        <w:jc w:val="center"/>
        <w:outlineLvl w:val="2"/>
        <w:rPr>
          <w:rFonts w:ascii="宋体" w:hAnsi="宋体" w:eastAsia="宋体" w:cs="宋体"/>
          <w:sz w:val="28"/>
          <w:highlight w:val="none"/>
        </w:rPr>
      </w:pPr>
    </w:p>
    <w:p w14:paraId="644192D4">
      <w:pPr>
        <w:pStyle w:val="278"/>
        <w:jc w:val="center"/>
        <w:outlineLvl w:val="2"/>
        <w:rPr>
          <w:rFonts w:ascii="宋体" w:hAnsi="宋体" w:eastAsia="宋体" w:cs="宋体"/>
          <w:sz w:val="28"/>
          <w:highlight w:val="none"/>
        </w:rPr>
      </w:pPr>
    </w:p>
    <w:p w14:paraId="42CEC78E">
      <w:pPr>
        <w:pStyle w:val="278"/>
        <w:jc w:val="center"/>
        <w:outlineLvl w:val="2"/>
        <w:rPr>
          <w:rFonts w:ascii="宋体" w:hAnsi="宋体" w:eastAsia="宋体" w:cs="宋体"/>
          <w:sz w:val="28"/>
          <w:highlight w:val="none"/>
        </w:rPr>
      </w:pPr>
    </w:p>
    <w:p w14:paraId="74B92BD8">
      <w:pPr>
        <w:pStyle w:val="278"/>
        <w:jc w:val="center"/>
        <w:outlineLvl w:val="2"/>
        <w:rPr>
          <w:rFonts w:ascii="宋体" w:hAnsi="宋体" w:eastAsia="宋体" w:cs="宋体"/>
          <w:sz w:val="28"/>
          <w:highlight w:val="none"/>
        </w:rPr>
      </w:pPr>
    </w:p>
    <w:p w14:paraId="3D2BA9E3">
      <w:pPr>
        <w:pStyle w:val="278"/>
        <w:jc w:val="center"/>
        <w:outlineLvl w:val="2"/>
        <w:rPr>
          <w:rFonts w:ascii="宋体" w:hAnsi="宋体" w:eastAsia="宋体" w:cs="宋体"/>
          <w:sz w:val="28"/>
          <w:highlight w:val="none"/>
        </w:rPr>
      </w:pPr>
    </w:p>
    <w:p w14:paraId="69FF5BE1">
      <w:pPr>
        <w:pStyle w:val="278"/>
        <w:jc w:val="center"/>
        <w:outlineLvl w:val="2"/>
        <w:rPr>
          <w:rFonts w:ascii="宋体" w:hAnsi="宋体" w:eastAsia="宋体" w:cs="宋体"/>
          <w:sz w:val="28"/>
          <w:highlight w:val="none"/>
        </w:rPr>
      </w:pPr>
    </w:p>
    <w:p w14:paraId="21541646">
      <w:pPr>
        <w:pStyle w:val="278"/>
        <w:jc w:val="center"/>
        <w:outlineLvl w:val="2"/>
        <w:rPr>
          <w:rFonts w:ascii="宋体" w:hAnsi="宋体" w:eastAsia="宋体" w:cs="宋体"/>
          <w:sz w:val="28"/>
          <w:highlight w:val="none"/>
        </w:rPr>
      </w:pPr>
    </w:p>
    <w:p w14:paraId="017202C5">
      <w:pPr>
        <w:pStyle w:val="278"/>
        <w:jc w:val="center"/>
        <w:outlineLvl w:val="2"/>
        <w:rPr>
          <w:rFonts w:ascii="宋体" w:hAnsi="宋体" w:eastAsia="宋体" w:cs="宋体"/>
          <w:sz w:val="28"/>
          <w:highlight w:val="none"/>
        </w:rPr>
      </w:pPr>
    </w:p>
    <w:p w14:paraId="1EBE838A">
      <w:pPr>
        <w:pStyle w:val="278"/>
        <w:jc w:val="center"/>
        <w:outlineLvl w:val="2"/>
        <w:rPr>
          <w:rFonts w:ascii="宋体" w:hAnsi="宋体" w:eastAsia="宋体" w:cs="宋体"/>
          <w:sz w:val="28"/>
          <w:highlight w:val="none"/>
        </w:rPr>
      </w:pPr>
    </w:p>
    <w:p w14:paraId="1D968351">
      <w:pPr>
        <w:pStyle w:val="278"/>
        <w:jc w:val="center"/>
        <w:outlineLvl w:val="2"/>
        <w:rPr>
          <w:rFonts w:ascii="宋体" w:hAnsi="宋体" w:eastAsia="宋体" w:cs="宋体"/>
          <w:sz w:val="28"/>
          <w:highlight w:val="none"/>
        </w:rPr>
      </w:pPr>
      <w:r>
        <w:rPr>
          <w:rFonts w:ascii="宋体" w:hAnsi="宋体" w:eastAsia="宋体" w:cs="宋体"/>
          <w:sz w:val="28"/>
          <w:highlight w:val="none"/>
        </w:rPr>
        <w:t>(七)落实政府采购政策需满足的资格要求</w:t>
      </w:r>
      <w:bookmarkEnd w:id="325"/>
    </w:p>
    <w:p w14:paraId="1E645D38">
      <w:pPr>
        <w:pStyle w:val="305"/>
        <w:jc w:val="center"/>
        <w:outlineLvl w:val="2"/>
        <w:rPr>
          <w:rFonts w:hint="eastAsia" w:eastAsia="宋体"/>
          <w:highlight w:val="none"/>
          <w:lang w:eastAsia="zh-CN"/>
        </w:rPr>
      </w:pPr>
      <w:bookmarkStart w:id="326" w:name="_Toc17419"/>
      <w:bookmarkStart w:id="327" w:name="_Toc152745363"/>
      <w:r>
        <w:rPr>
          <w:rFonts w:hint="eastAsia" w:ascii="宋体" w:hAnsi="宋体" w:eastAsia="宋体" w:cs="宋体"/>
          <w:sz w:val="28"/>
          <w:highlight w:val="none"/>
          <w:lang w:val="en-US" w:eastAsia="zh-CN"/>
        </w:rPr>
        <w:t>1、</w:t>
      </w:r>
      <w:r>
        <w:rPr>
          <w:rFonts w:ascii="宋体" w:hAnsi="宋体" w:eastAsia="宋体" w:cs="宋体"/>
          <w:sz w:val="28"/>
          <w:highlight w:val="none"/>
        </w:rPr>
        <w:t>中小企业声明函</w:t>
      </w:r>
      <w:bookmarkEnd w:id="326"/>
    </w:p>
    <w:p w14:paraId="69643AF8">
      <w:pPr>
        <w:pStyle w:val="306"/>
        <w:spacing w:line="580" w:lineRule="exact"/>
        <w:ind w:firstLine="560"/>
        <w:rPr>
          <w:rFonts w:ascii="宋体" w:hAnsi="宋体"/>
          <w:color w:val="000000"/>
          <w:sz w:val="28"/>
          <w:highlight w:val="none"/>
        </w:rPr>
      </w:pPr>
      <w:r>
        <w:rPr>
          <w:rFonts w:ascii="宋体" w:hAnsi="宋体"/>
          <w:color w:val="000000"/>
          <w:sz w:val="28"/>
          <w:highlight w:val="none"/>
        </w:rPr>
        <w:t>本公司（联合体）郑重声明，根据《政府采购促进中小企业发展管理办法》（财库﹝2020﹞46 号）的规定，本公司 （联合体）参加</w:t>
      </w:r>
      <w:r>
        <w:rPr>
          <w:rFonts w:ascii="宋体" w:hAnsi="宋体"/>
          <w:color w:val="000000"/>
          <w:sz w:val="28"/>
          <w:highlight w:val="none"/>
          <w:u w:val="single"/>
        </w:rPr>
        <w:t>（单位名称）</w:t>
      </w:r>
      <w:r>
        <w:rPr>
          <w:rFonts w:ascii="宋体" w:hAnsi="宋体"/>
          <w:color w:val="000000"/>
          <w:sz w:val="28"/>
          <w:highlight w:val="none"/>
        </w:rPr>
        <w:t>的</w:t>
      </w:r>
      <w:r>
        <w:rPr>
          <w:rFonts w:ascii="宋体" w:hAnsi="宋体"/>
          <w:color w:val="000000"/>
          <w:sz w:val="28"/>
          <w:highlight w:val="none"/>
          <w:u w:val="single"/>
        </w:rPr>
        <w:t>（项目名称）</w:t>
      </w:r>
      <w:r>
        <w:rPr>
          <w:rFonts w:ascii="宋体" w:hAnsi="宋体"/>
          <w:color w:val="000000"/>
          <w:sz w:val="28"/>
          <w:highlight w:val="none"/>
        </w:rPr>
        <w:t>采购活动，服务全部由符合政策要求的中小企业承接。相关企业（含联合体中的中小企业、签订分包意向协议的中小企业）的具体情况如下：</w:t>
      </w:r>
    </w:p>
    <w:p w14:paraId="5C7B7B5E">
      <w:pPr>
        <w:pStyle w:val="306"/>
        <w:spacing w:line="580" w:lineRule="exact"/>
        <w:ind w:firstLine="560"/>
        <w:rPr>
          <w:rFonts w:ascii="宋体" w:hAnsi="宋体"/>
          <w:color w:val="000000"/>
          <w:sz w:val="28"/>
          <w:highlight w:val="none"/>
        </w:rPr>
      </w:pPr>
      <w:r>
        <w:rPr>
          <w:rFonts w:ascii="宋体" w:hAnsi="宋体"/>
          <w:color w:val="000000"/>
          <w:sz w:val="28"/>
          <w:highlight w:val="none"/>
        </w:rPr>
        <w:t xml:space="preserve"> 1.</w:t>
      </w:r>
      <w:r>
        <w:rPr>
          <w:rFonts w:ascii="宋体" w:hAnsi="宋体"/>
          <w:color w:val="000000"/>
          <w:sz w:val="28"/>
          <w:highlight w:val="none"/>
          <w:u w:val="single"/>
        </w:rPr>
        <w:t xml:space="preserve"> （标的名称） </w:t>
      </w:r>
      <w:r>
        <w:rPr>
          <w:rFonts w:ascii="宋体" w:hAnsi="宋体"/>
          <w:color w:val="000000"/>
          <w:sz w:val="28"/>
          <w:highlight w:val="none"/>
        </w:rPr>
        <w:t>，属于</w:t>
      </w:r>
      <w:r>
        <w:rPr>
          <w:rFonts w:ascii="宋体" w:hAnsi="宋体"/>
          <w:color w:val="000000"/>
          <w:sz w:val="28"/>
          <w:highlight w:val="none"/>
          <w:u w:val="single"/>
        </w:rPr>
        <w:t>（采购文件中明确的所属行业）</w:t>
      </w:r>
      <w:r>
        <w:rPr>
          <w:rFonts w:ascii="宋体" w:hAnsi="宋体"/>
          <w:color w:val="000000"/>
          <w:sz w:val="28"/>
          <w:highlight w:val="none"/>
        </w:rPr>
        <w:t>；承接企业为</w:t>
      </w:r>
      <w:r>
        <w:rPr>
          <w:rFonts w:ascii="宋体" w:hAnsi="宋体"/>
          <w:color w:val="000000"/>
          <w:sz w:val="28"/>
          <w:highlight w:val="none"/>
          <w:u w:val="single"/>
        </w:rPr>
        <w:t>（企业名称）</w:t>
      </w:r>
      <w:r>
        <w:rPr>
          <w:rFonts w:ascii="宋体" w:hAnsi="宋体"/>
          <w:color w:val="000000"/>
          <w:sz w:val="28"/>
          <w:highlight w:val="none"/>
        </w:rPr>
        <w:t>，从业人员</w:t>
      </w:r>
      <w:r>
        <w:rPr>
          <w:rFonts w:hint="eastAsia" w:ascii="宋体" w:hAnsi="宋体"/>
          <w:color w:val="000000"/>
          <w:sz w:val="28"/>
          <w:highlight w:val="none"/>
          <w:u w:val="single"/>
        </w:rPr>
        <w:t xml:space="preserve">    </w:t>
      </w:r>
      <w:r>
        <w:rPr>
          <w:rFonts w:ascii="宋体" w:hAnsi="宋体"/>
          <w:color w:val="000000"/>
          <w:sz w:val="28"/>
          <w:highlight w:val="none"/>
        </w:rPr>
        <w:t>人，营业 收入为</w:t>
      </w:r>
      <w:r>
        <w:rPr>
          <w:rFonts w:hint="eastAsia" w:ascii="宋体" w:hAnsi="宋体"/>
          <w:color w:val="000000"/>
          <w:sz w:val="28"/>
          <w:highlight w:val="none"/>
          <w:u w:val="single"/>
        </w:rPr>
        <w:t xml:space="preserve">    </w:t>
      </w:r>
      <w:r>
        <w:rPr>
          <w:rFonts w:ascii="宋体" w:hAnsi="宋体"/>
          <w:color w:val="000000"/>
          <w:sz w:val="28"/>
          <w:highlight w:val="none"/>
        </w:rPr>
        <w:t>万元，资产总额为</w:t>
      </w:r>
      <w:r>
        <w:rPr>
          <w:rFonts w:hint="eastAsia" w:ascii="宋体" w:hAnsi="宋体"/>
          <w:color w:val="000000"/>
          <w:sz w:val="28"/>
          <w:highlight w:val="none"/>
          <w:u w:val="single"/>
        </w:rPr>
        <w:t xml:space="preserve">    </w:t>
      </w:r>
      <w:r>
        <w:rPr>
          <w:rFonts w:ascii="宋体" w:hAnsi="宋体"/>
          <w:color w:val="000000"/>
          <w:sz w:val="28"/>
          <w:highlight w:val="none"/>
        </w:rPr>
        <w:t>万元，属于</w:t>
      </w:r>
      <w:r>
        <w:rPr>
          <w:rFonts w:ascii="宋体" w:hAnsi="宋体"/>
          <w:color w:val="000000"/>
          <w:sz w:val="28"/>
          <w:highlight w:val="none"/>
          <w:u w:val="single"/>
        </w:rPr>
        <w:t>（中型企业、 小型企业、微型企业）</w:t>
      </w:r>
      <w:r>
        <w:rPr>
          <w:rFonts w:ascii="宋体" w:hAnsi="宋体"/>
          <w:color w:val="000000"/>
          <w:sz w:val="28"/>
          <w:highlight w:val="none"/>
        </w:rPr>
        <w:t xml:space="preserve">； </w:t>
      </w:r>
    </w:p>
    <w:p w14:paraId="69608A46">
      <w:pPr>
        <w:pStyle w:val="306"/>
        <w:spacing w:line="580" w:lineRule="exact"/>
        <w:ind w:firstLine="560"/>
        <w:rPr>
          <w:rFonts w:ascii="宋体" w:hAnsi="宋体"/>
          <w:color w:val="000000"/>
          <w:sz w:val="28"/>
          <w:highlight w:val="none"/>
        </w:rPr>
      </w:pPr>
      <w:r>
        <w:rPr>
          <w:rFonts w:ascii="宋体" w:hAnsi="宋体"/>
          <w:color w:val="000000"/>
          <w:sz w:val="28"/>
          <w:highlight w:val="none"/>
        </w:rPr>
        <w:t>2.</w:t>
      </w:r>
      <w:r>
        <w:rPr>
          <w:rFonts w:ascii="宋体" w:hAnsi="宋体"/>
          <w:color w:val="000000"/>
          <w:sz w:val="28"/>
          <w:highlight w:val="none"/>
          <w:u w:val="single"/>
        </w:rPr>
        <w:t xml:space="preserve"> （标的名称） </w:t>
      </w:r>
      <w:r>
        <w:rPr>
          <w:rFonts w:ascii="宋体" w:hAnsi="宋体"/>
          <w:color w:val="000000"/>
          <w:sz w:val="28"/>
          <w:highlight w:val="none"/>
        </w:rPr>
        <w:t>，属于</w:t>
      </w:r>
      <w:r>
        <w:rPr>
          <w:rFonts w:ascii="宋体" w:hAnsi="宋体"/>
          <w:color w:val="000000"/>
          <w:sz w:val="28"/>
          <w:highlight w:val="none"/>
          <w:u w:val="single"/>
        </w:rPr>
        <w:t>（采购文件中明确的所属行业）</w:t>
      </w:r>
      <w:r>
        <w:rPr>
          <w:rFonts w:ascii="宋体" w:hAnsi="宋体"/>
          <w:color w:val="000000"/>
          <w:sz w:val="28"/>
          <w:highlight w:val="none"/>
        </w:rPr>
        <w:t>；承接企业为</w:t>
      </w:r>
      <w:r>
        <w:rPr>
          <w:rFonts w:ascii="宋体" w:hAnsi="宋体"/>
          <w:color w:val="000000"/>
          <w:sz w:val="28"/>
          <w:highlight w:val="none"/>
          <w:u w:val="single"/>
        </w:rPr>
        <w:t>（企业名称）</w:t>
      </w:r>
      <w:r>
        <w:rPr>
          <w:rFonts w:ascii="宋体" w:hAnsi="宋体"/>
          <w:color w:val="000000"/>
          <w:sz w:val="28"/>
          <w:highlight w:val="none"/>
        </w:rPr>
        <w:t>，从业人员</w:t>
      </w:r>
      <w:r>
        <w:rPr>
          <w:rFonts w:hint="eastAsia" w:ascii="宋体" w:hAnsi="宋体"/>
          <w:color w:val="000000"/>
          <w:sz w:val="28"/>
          <w:highlight w:val="none"/>
          <w:u w:val="single"/>
        </w:rPr>
        <w:t xml:space="preserve">    </w:t>
      </w:r>
      <w:r>
        <w:rPr>
          <w:rFonts w:ascii="宋体" w:hAnsi="宋体"/>
          <w:color w:val="000000"/>
          <w:sz w:val="28"/>
          <w:highlight w:val="none"/>
        </w:rPr>
        <w:t>人，营业 收入为</w:t>
      </w:r>
      <w:r>
        <w:rPr>
          <w:rFonts w:hint="eastAsia" w:ascii="宋体" w:hAnsi="宋体"/>
          <w:color w:val="000000"/>
          <w:sz w:val="28"/>
          <w:highlight w:val="none"/>
          <w:u w:val="single"/>
        </w:rPr>
        <w:t xml:space="preserve">    </w:t>
      </w:r>
      <w:r>
        <w:rPr>
          <w:rFonts w:ascii="宋体" w:hAnsi="宋体"/>
          <w:color w:val="000000"/>
          <w:sz w:val="28"/>
          <w:highlight w:val="none"/>
        </w:rPr>
        <w:t>万元，资产总额为</w:t>
      </w:r>
      <w:r>
        <w:rPr>
          <w:rFonts w:hint="eastAsia" w:ascii="宋体" w:hAnsi="宋体"/>
          <w:color w:val="000000"/>
          <w:sz w:val="28"/>
          <w:highlight w:val="none"/>
          <w:u w:val="single"/>
        </w:rPr>
        <w:t xml:space="preserve">    </w:t>
      </w:r>
      <w:r>
        <w:rPr>
          <w:rFonts w:ascii="宋体" w:hAnsi="宋体"/>
          <w:color w:val="000000"/>
          <w:sz w:val="28"/>
          <w:highlight w:val="none"/>
        </w:rPr>
        <w:t>万元，属于</w:t>
      </w:r>
      <w:r>
        <w:rPr>
          <w:rFonts w:ascii="宋体" w:hAnsi="宋体"/>
          <w:color w:val="000000"/>
          <w:sz w:val="28"/>
          <w:highlight w:val="none"/>
          <w:u w:val="single"/>
        </w:rPr>
        <w:t>（中型企业、 小型企业、微型企业）</w:t>
      </w:r>
      <w:r>
        <w:rPr>
          <w:rFonts w:ascii="宋体" w:hAnsi="宋体"/>
          <w:color w:val="000000"/>
          <w:sz w:val="28"/>
          <w:highlight w:val="none"/>
        </w:rPr>
        <w:t xml:space="preserve">； </w:t>
      </w:r>
    </w:p>
    <w:p w14:paraId="7962C8C4">
      <w:pPr>
        <w:pStyle w:val="306"/>
        <w:spacing w:line="580" w:lineRule="exact"/>
        <w:ind w:firstLine="560"/>
        <w:rPr>
          <w:rFonts w:ascii="宋体" w:hAnsi="宋体"/>
          <w:color w:val="000000"/>
          <w:sz w:val="28"/>
          <w:highlight w:val="none"/>
        </w:rPr>
      </w:pPr>
      <w:r>
        <w:rPr>
          <w:rFonts w:ascii="宋体" w:hAnsi="宋体"/>
          <w:color w:val="000000"/>
          <w:sz w:val="28"/>
          <w:highlight w:val="none"/>
        </w:rPr>
        <w:t xml:space="preserve">…… </w:t>
      </w:r>
    </w:p>
    <w:p w14:paraId="10EA99C5">
      <w:pPr>
        <w:pStyle w:val="306"/>
        <w:spacing w:line="580" w:lineRule="exact"/>
        <w:ind w:firstLine="560"/>
        <w:rPr>
          <w:rFonts w:ascii="宋体" w:hAnsi="宋体"/>
          <w:color w:val="000000"/>
          <w:sz w:val="28"/>
          <w:highlight w:val="none"/>
        </w:rPr>
      </w:pPr>
      <w:r>
        <w:rPr>
          <w:rFonts w:ascii="宋体" w:hAnsi="宋体"/>
          <w:color w:val="000000"/>
          <w:sz w:val="28"/>
          <w:highlight w:val="none"/>
        </w:rPr>
        <w:t xml:space="preserve">以上企业，不属于大企业的分支机构，不存在控股股东为大企业的情形，也不存在与大企业的负责人为同一人的情形。 </w:t>
      </w:r>
    </w:p>
    <w:p w14:paraId="54E8C308">
      <w:pPr>
        <w:pStyle w:val="306"/>
        <w:spacing w:line="580" w:lineRule="exact"/>
        <w:ind w:firstLine="560"/>
        <w:rPr>
          <w:rFonts w:ascii="宋体" w:hAnsi="宋体"/>
          <w:color w:val="000000"/>
          <w:sz w:val="28"/>
          <w:highlight w:val="none"/>
        </w:rPr>
      </w:pPr>
      <w:r>
        <w:rPr>
          <w:rFonts w:ascii="宋体" w:hAnsi="宋体"/>
          <w:color w:val="000000"/>
          <w:sz w:val="28"/>
          <w:highlight w:val="none"/>
        </w:rPr>
        <w:t xml:space="preserve">本企业对上述声明内容的真实性负责。如有虚假，将依 法承担相应责任。 </w:t>
      </w:r>
    </w:p>
    <w:p w14:paraId="128E9E17">
      <w:pPr>
        <w:pStyle w:val="306"/>
        <w:spacing w:line="580" w:lineRule="exact"/>
        <w:ind w:firstLine="560"/>
        <w:rPr>
          <w:rFonts w:ascii="宋体" w:hAnsi="宋体"/>
          <w:color w:val="000000"/>
          <w:sz w:val="28"/>
          <w:highlight w:val="none"/>
        </w:rPr>
      </w:pPr>
      <w:r>
        <w:rPr>
          <w:rFonts w:ascii="宋体" w:hAnsi="宋体"/>
          <w:color w:val="000000"/>
          <w:sz w:val="28"/>
          <w:highlight w:val="none"/>
        </w:rPr>
        <w:t>企业名称（盖章）：</w:t>
      </w:r>
    </w:p>
    <w:p w14:paraId="00D44F1E">
      <w:pPr>
        <w:pStyle w:val="306"/>
        <w:spacing w:line="580" w:lineRule="exact"/>
        <w:ind w:firstLine="560"/>
        <w:rPr>
          <w:rFonts w:ascii="宋体" w:hAnsi="宋体"/>
          <w:color w:val="000000"/>
          <w:sz w:val="24"/>
          <w:highlight w:val="none"/>
        </w:rPr>
      </w:pPr>
      <w:r>
        <w:rPr>
          <w:rFonts w:ascii="宋体" w:hAnsi="宋体"/>
          <w:color w:val="000000"/>
          <w:sz w:val="28"/>
          <w:highlight w:val="none"/>
        </w:rPr>
        <w:t>日 期：</w:t>
      </w:r>
      <w:r>
        <w:rPr>
          <w:rFonts w:hint="eastAsia" w:ascii="宋体" w:hAnsi="宋体"/>
          <w:color w:val="000000"/>
          <w:sz w:val="28"/>
          <w:highlight w:val="none"/>
        </w:rPr>
        <w:t xml:space="preserve">   </w:t>
      </w:r>
      <w:r>
        <w:rPr>
          <w:rFonts w:hint="eastAsia" w:ascii="宋体" w:hAnsi="宋体"/>
          <w:color w:val="000000"/>
          <w:sz w:val="24"/>
          <w:highlight w:val="none"/>
        </w:rPr>
        <w:t xml:space="preserve">   </w:t>
      </w:r>
    </w:p>
    <w:p w14:paraId="7EBD869E">
      <w:pPr>
        <w:pStyle w:val="307"/>
        <w:widowControl/>
        <w:spacing w:line="400" w:lineRule="exact"/>
        <w:jc w:val="left"/>
        <w:rPr>
          <w:rFonts w:ascii="宋体" w:hAnsi="宋体"/>
          <w:color w:val="000000"/>
          <w:spacing w:val="6"/>
          <w:szCs w:val="28"/>
          <w:highlight w:val="none"/>
        </w:rPr>
      </w:pPr>
      <w:r>
        <w:rPr>
          <w:rFonts w:hint="eastAsia" w:ascii="宋体" w:hAnsi="宋体"/>
          <w:color w:val="000000"/>
          <w:spacing w:val="6"/>
          <w:szCs w:val="28"/>
          <w:highlight w:val="none"/>
        </w:rPr>
        <w:t>注：</w:t>
      </w:r>
      <w:r>
        <w:rPr>
          <w:rFonts w:ascii="宋体" w:hAnsi="宋体"/>
          <w:color w:val="000000"/>
          <w:spacing w:val="6"/>
          <w:szCs w:val="28"/>
          <w:highlight w:val="none"/>
        </w:rPr>
        <w:t>从业人员、营业收入、资产总额填报上一年度数据，无上一年度数据的新成立企业可不填报。</w:t>
      </w:r>
    </w:p>
    <w:p w14:paraId="5696F5D7">
      <w:pPr>
        <w:widowControl/>
        <w:spacing w:line="400" w:lineRule="exact"/>
        <w:rPr>
          <w:rFonts w:hint="eastAsia" w:ascii="宋体" w:hAnsi="宋体"/>
          <w:color w:val="7030A0"/>
          <w:spacing w:val="6"/>
          <w:szCs w:val="28"/>
          <w:highlight w:val="none"/>
        </w:rPr>
      </w:pPr>
      <w:r>
        <w:rPr>
          <w:rFonts w:hint="eastAsia" w:ascii="宋体" w:hAnsi="宋体"/>
          <w:color w:val="7030A0"/>
          <w:spacing w:val="6"/>
          <w:szCs w:val="28"/>
          <w:highlight w:val="none"/>
        </w:rPr>
        <w:t>填写说明：1.本声明函中“属于（中型企业、小型企业、微型企业）”的内容，必须且只能选择其中之一填写。</w:t>
      </w:r>
    </w:p>
    <w:p w14:paraId="6467C214">
      <w:pPr>
        <w:pStyle w:val="286"/>
        <w:rPr>
          <w:rFonts w:ascii="宋体" w:hAnsi="宋体"/>
          <w:b/>
          <w:sz w:val="28"/>
          <w:szCs w:val="28"/>
          <w:highlight w:val="none"/>
          <w:lang w:val="en-US" w:eastAsia="zh-CN"/>
        </w:rPr>
      </w:pPr>
      <w:r>
        <w:rPr>
          <w:rFonts w:hint="eastAsia" w:ascii="宋体" w:hAnsi="宋体"/>
          <w:color w:val="7030A0"/>
          <w:spacing w:val="6"/>
          <w:szCs w:val="28"/>
          <w:highlight w:val="none"/>
          <w:lang w:val="en-US" w:eastAsia="zh-CN"/>
        </w:rPr>
        <w:t>2.供应商应当根据采购文件中明确的所属行业，认真对照《关于印发中小企业划型标准规定的通知》（工信部联企业[2011]300号）提供声明函。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72F3A93E">
      <w:pPr>
        <w:pStyle w:val="308"/>
        <w:jc w:val="center"/>
        <w:outlineLvl w:val="2"/>
        <w:rPr>
          <w:rFonts w:ascii="宋体" w:hAnsi="宋体" w:cs="宋体"/>
          <w:sz w:val="28"/>
          <w:highlight w:val="none"/>
        </w:rPr>
      </w:pPr>
      <w:r>
        <w:rPr>
          <w:highlight w:val="none"/>
        </w:rPr>
        <w:br w:type="page" w:clear="all"/>
      </w:r>
      <w:bookmarkStart w:id="328" w:name="_Toc19722"/>
      <w:bookmarkStart w:id="329" w:name="_Toc152745364"/>
      <w:r>
        <w:rPr>
          <w:rFonts w:hint="eastAsia" w:ascii="宋体" w:hAnsi="宋体" w:eastAsia="Times New Roman" w:cs="宋体"/>
          <w:sz w:val="28"/>
          <w:highlight w:val="none"/>
          <w:lang w:val="en-US" w:eastAsia="zh-CN"/>
        </w:rPr>
        <w:t>2、</w:t>
      </w:r>
      <w:r>
        <w:rPr>
          <w:rFonts w:ascii="宋体" w:hAnsi="宋体" w:cs="宋体"/>
          <w:sz w:val="28"/>
          <w:highlight w:val="none"/>
        </w:rPr>
        <w:t>残疾人福利性单位声明函（可选）</w:t>
      </w:r>
      <w:bookmarkEnd w:id="328"/>
      <w:bookmarkEnd w:id="329"/>
    </w:p>
    <w:p w14:paraId="15074F97">
      <w:pPr>
        <w:pStyle w:val="311"/>
        <w:spacing w:line="588" w:lineRule="exact"/>
        <w:ind w:left="473" w:right="473" w:firstLine="584"/>
        <w:rPr>
          <w:rFonts w:ascii="宋体" w:hAnsi="宋体"/>
          <w:spacing w:val="6"/>
          <w:sz w:val="28"/>
          <w:szCs w:val="28"/>
          <w:highlight w:val="none"/>
        </w:rPr>
      </w:pPr>
      <w:r>
        <w:rPr>
          <w:rFonts w:hint="eastAsia" w:ascii="宋体" w:hAnsi="宋体"/>
          <w:spacing w:val="6"/>
          <w:sz w:val="28"/>
          <w:szCs w:val="28"/>
          <w:highlight w:val="none"/>
        </w:rPr>
        <w:t>本单位郑重声明，根据《财政部 民政部 中国残疾人联合会关于促进残疾人就业政府采购政策的通知》（财库</w:t>
      </w:r>
      <w:r>
        <w:rPr>
          <w:rFonts w:hint="eastAsia" w:ascii="宋体" w:hAnsi="宋体"/>
          <w:sz w:val="28"/>
          <w:szCs w:val="28"/>
          <w:highlight w:val="none"/>
        </w:rPr>
        <w:t>〔2017〕 141</w:t>
      </w:r>
      <w:r>
        <w:rPr>
          <w:rFonts w:hint="eastAsia" w:ascii="宋体" w:hAnsi="宋体"/>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840AAA">
      <w:pPr>
        <w:pStyle w:val="311"/>
        <w:spacing w:line="588" w:lineRule="exact"/>
        <w:ind w:left="473" w:right="473" w:firstLine="584"/>
        <w:rPr>
          <w:rFonts w:ascii="宋体" w:hAnsi="宋体"/>
          <w:spacing w:val="6"/>
          <w:sz w:val="28"/>
          <w:szCs w:val="28"/>
          <w:highlight w:val="none"/>
        </w:rPr>
      </w:pPr>
      <w:r>
        <w:rPr>
          <w:rFonts w:hint="eastAsia" w:ascii="宋体" w:hAnsi="宋体"/>
          <w:spacing w:val="6"/>
          <w:sz w:val="28"/>
          <w:szCs w:val="28"/>
          <w:highlight w:val="none"/>
        </w:rPr>
        <w:t>本单位对上述声明的真实性负责。如有虚假，将依法承担相应责任。</w:t>
      </w:r>
    </w:p>
    <w:p w14:paraId="35F60FC3">
      <w:pPr>
        <w:pStyle w:val="311"/>
        <w:spacing w:line="588" w:lineRule="exact"/>
        <w:ind w:left="473" w:right="473" w:firstLine="584"/>
        <w:rPr>
          <w:rFonts w:ascii="宋体" w:hAnsi="宋体"/>
          <w:spacing w:val="6"/>
          <w:sz w:val="28"/>
          <w:szCs w:val="28"/>
          <w:highlight w:val="none"/>
        </w:rPr>
      </w:pPr>
    </w:p>
    <w:p w14:paraId="01A2863D">
      <w:pPr>
        <w:pStyle w:val="311"/>
        <w:spacing w:line="588" w:lineRule="exact"/>
        <w:ind w:left="473" w:right="473" w:firstLine="624"/>
        <w:rPr>
          <w:rFonts w:ascii="宋体" w:hAnsi="宋体"/>
          <w:spacing w:val="6"/>
          <w:sz w:val="30"/>
          <w:szCs w:val="30"/>
          <w:highlight w:val="none"/>
        </w:rPr>
      </w:pPr>
    </w:p>
    <w:p w14:paraId="1B5EF9FD">
      <w:pPr>
        <w:pStyle w:val="311"/>
        <w:spacing w:line="588" w:lineRule="exact"/>
        <w:ind w:left="473" w:right="473" w:firstLine="584"/>
        <w:jc w:val="right"/>
        <w:rPr>
          <w:rFonts w:ascii="宋体" w:hAnsi="宋体"/>
          <w:spacing w:val="6"/>
          <w:sz w:val="28"/>
          <w:szCs w:val="28"/>
          <w:highlight w:val="none"/>
        </w:rPr>
      </w:pPr>
      <w:r>
        <w:rPr>
          <w:rFonts w:hint="eastAsia" w:ascii="宋体" w:hAnsi="宋体"/>
          <w:spacing w:val="6"/>
          <w:sz w:val="28"/>
          <w:szCs w:val="28"/>
          <w:highlight w:val="none"/>
        </w:rPr>
        <w:t>单位名称（盖章）：</w:t>
      </w:r>
    </w:p>
    <w:p w14:paraId="2A25E11C">
      <w:pPr>
        <w:pStyle w:val="312"/>
        <w:jc w:val="right"/>
        <w:rPr>
          <w:rFonts w:hint="eastAsia"/>
          <w:highlight w:val="none"/>
        </w:rPr>
      </w:pPr>
      <w:r>
        <w:rPr>
          <w:rFonts w:hint="eastAsia" w:ascii="宋体" w:hAnsi="宋体"/>
          <w:spacing w:val="6"/>
          <w:sz w:val="28"/>
          <w:szCs w:val="28"/>
          <w:highlight w:val="none"/>
        </w:rPr>
        <w:t xml:space="preserve">       日  期：</w:t>
      </w:r>
    </w:p>
    <w:p w14:paraId="57F6194E">
      <w:pPr>
        <w:pStyle w:val="305"/>
        <w:jc w:val="center"/>
        <w:outlineLvl w:val="2"/>
        <w:rPr>
          <w:rFonts w:ascii="宋体" w:hAnsi="宋体" w:eastAsia="宋体" w:cs="宋体"/>
          <w:sz w:val="28"/>
          <w:highlight w:val="none"/>
        </w:rPr>
      </w:pPr>
    </w:p>
    <w:p w14:paraId="4C494467">
      <w:pPr>
        <w:pStyle w:val="305"/>
        <w:jc w:val="center"/>
        <w:outlineLvl w:val="2"/>
        <w:rPr>
          <w:rFonts w:ascii="宋体" w:hAnsi="宋体" w:eastAsia="宋体" w:cs="宋体"/>
          <w:sz w:val="28"/>
          <w:highlight w:val="none"/>
        </w:rPr>
      </w:pPr>
    </w:p>
    <w:p w14:paraId="4D7BA116">
      <w:pPr>
        <w:pStyle w:val="305"/>
        <w:jc w:val="center"/>
        <w:outlineLvl w:val="2"/>
        <w:rPr>
          <w:rFonts w:ascii="宋体" w:hAnsi="宋体" w:eastAsia="宋体" w:cs="宋体"/>
          <w:sz w:val="28"/>
          <w:highlight w:val="none"/>
        </w:rPr>
      </w:pPr>
    </w:p>
    <w:p w14:paraId="1CF71823">
      <w:pPr>
        <w:pStyle w:val="305"/>
        <w:jc w:val="center"/>
        <w:outlineLvl w:val="2"/>
        <w:rPr>
          <w:rFonts w:ascii="宋体" w:hAnsi="宋体" w:eastAsia="宋体" w:cs="宋体"/>
          <w:sz w:val="28"/>
          <w:highlight w:val="none"/>
        </w:rPr>
      </w:pPr>
    </w:p>
    <w:p w14:paraId="28581C8B">
      <w:pPr>
        <w:pStyle w:val="305"/>
        <w:jc w:val="center"/>
        <w:outlineLvl w:val="2"/>
        <w:rPr>
          <w:rFonts w:ascii="宋体" w:hAnsi="宋体" w:eastAsia="宋体" w:cs="宋体"/>
          <w:sz w:val="28"/>
          <w:highlight w:val="none"/>
        </w:rPr>
      </w:pPr>
    </w:p>
    <w:p w14:paraId="3F72C047">
      <w:pPr>
        <w:pStyle w:val="305"/>
        <w:jc w:val="center"/>
        <w:outlineLvl w:val="2"/>
        <w:rPr>
          <w:rFonts w:ascii="宋体" w:hAnsi="宋体" w:eastAsia="宋体" w:cs="宋体"/>
          <w:sz w:val="28"/>
          <w:highlight w:val="none"/>
        </w:rPr>
      </w:pPr>
    </w:p>
    <w:p w14:paraId="56FBD3F4">
      <w:pPr>
        <w:pStyle w:val="305"/>
        <w:jc w:val="center"/>
        <w:outlineLvl w:val="2"/>
        <w:rPr>
          <w:rFonts w:ascii="宋体" w:hAnsi="宋体" w:eastAsia="宋体" w:cs="宋体"/>
          <w:sz w:val="28"/>
          <w:highlight w:val="none"/>
        </w:rPr>
      </w:pPr>
    </w:p>
    <w:p w14:paraId="6FE47702">
      <w:pPr>
        <w:pStyle w:val="305"/>
        <w:jc w:val="center"/>
        <w:outlineLvl w:val="2"/>
        <w:rPr>
          <w:rFonts w:ascii="宋体" w:hAnsi="宋体" w:eastAsia="宋体" w:cs="宋体"/>
          <w:sz w:val="28"/>
          <w:highlight w:val="none"/>
        </w:rPr>
      </w:pPr>
    </w:p>
    <w:p w14:paraId="13F94755">
      <w:pPr>
        <w:pStyle w:val="305"/>
        <w:jc w:val="center"/>
        <w:outlineLvl w:val="2"/>
        <w:rPr>
          <w:rFonts w:ascii="宋体" w:hAnsi="宋体" w:eastAsia="宋体" w:cs="宋体"/>
          <w:sz w:val="28"/>
          <w:highlight w:val="none"/>
        </w:rPr>
      </w:pPr>
    </w:p>
    <w:p w14:paraId="5B294F94">
      <w:pPr>
        <w:pStyle w:val="305"/>
        <w:jc w:val="center"/>
        <w:outlineLvl w:val="2"/>
        <w:rPr>
          <w:rFonts w:ascii="宋体" w:hAnsi="宋体" w:eastAsia="宋体" w:cs="宋体"/>
          <w:sz w:val="28"/>
          <w:highlight w:val="none"/>
        </w:rPr>
      </w:pPr>
    </w:p>
    <w:p w14:paraId="44987695">
      <w:pPr>
        <w:pStyle w:val="305"/>
        <w:jc w:val="center"/>
        <w:outlineLvl w:val="2"/>
        <w:rPr>
          <w:rFonts w:ascii="宋体" w:hAnsi="宋体" w:eastAsia="宋体" w:cs="宋体"/>
          <w:sz w:val="28"/>
          <w:highlight w:val="none"/>
        </w:rPr>
      </w:pPr>
    </w:p>
    <w:p w14:paraId="3F390E4E">
      <w:pPr>
        <w:pStyle w:val="305"/>
        <w:jc w:val="center"/>
        <w:outlineLvl w:val="2"/>
        <w:rPr>
          <w:rFonts w:ascii="宋体" w:hAnsi="宋体" w:eastAsia="宋体" w:cs="宋体"/>
          <w:sz w:val="28"/>
          <w:highlight w:val="none"/>
        </w:rPr>
      </w:pPr>
    </w:p>
    <w:p w14:paraId="356261F5">
      <w:pPr>
        <w:pStyle w:val="305"/>
        <w:jc w:val="center"/>
        <w:outlineLvl w:val="2"/>
        <w:rPr>
          <w:rFonts w:ascii="宋体" w:hAnsi="宋体" w:eastAsia="宋体" w:cs="宋体"/>
          <w:sz w:val="28"/>
          <w:highlight w:val="none"/>
        </w:rPr>
      </w:pPr>
    </w:p>
    <w:p w14:paraId="3A417374">
      <w:pPr>
        <w:pStyle w:val="305"/>
        <w:jc w:val="center"/>
        <w:outlineLvl w:val="2"/>
        <w:rPr>
          <w:rFonts w:ascii="宋体" w:hAnsi="宋体" w:eastAsia="宋体" w:cs="宋体"/>
          <w:sz w:val="28"/>
          <w:highlight w:val="none"/>
        </w:rPr>
      </w:pPr>
    </w:p>
    <w:p w14:paraId="3F362AB7">
      <w:pPr>
        <w:pStyle w:val="305"/>
        <w:jc w:val="center"/>
        <w:outlineLvl w:val="2"/>
        <w:rPr>
          <w:rFonts w:ascii="宋体" w:hAnsi="宋体" w:eastAsia="宋体" w:cs="宋体"/>
          <w:sz w:val="28"/>
          <w:highlight w:val="none"/>
        </w:rPr>
      </w:pPr>
    </w:p>
    <w:bookmarkEnd w:id="327"/>
    <w:p w14:paraId="1C12A4B1">
      <w:pPr>
        <w:pStyle w:val="279"/>
        <w:jc w:val="center"/>
        <w:outlineLvl w:val="2"/>
        <w:rPr>
          <w:highlight w:val="none"/>
        </w:rPr>
      </w:pPr>
      <w:bookmarkStart w:id="330" w:name="_Toc15176"/>
      <w:r>
        <w:rPr>
          <w:rFonts w:ascii="宋体" w:hAnsi="宋体" w:eastAsia="宋体" w:cs="宋体"/>
          <w:sz w:val="28"/>
          <w:highlight w:val="none"/>
        </w:rPr>
        <w:t>(八)本项目的特定资格要求</w:t>
      </w:r>
      <w:bookmarkEnd w:id="330"/>
    </w:p>
    <w:p w14:paraId="130B59AA">
      <w:pPr>
        <w:pStyle w:val="280"/>
        <w:jc w:val="center"/>
        <w:outlineLvl w:val="2"/>
        <w:rPr>
          <w:highlight w:val="none"/>
        </w:rPr>
      </w:pPr>
      <w:r>
        <w:rPr>
          <w:highlight w:val="none"/>
        </w:rPr>
        <w:br w:type="page" w:clear="all"/>
      </w:r>
      <w:bookmarkStart w:id="331" w:name="_Toc907"/>
      <w:r>
        <w:rPr>
          <w:rFonts w:ascii="宋体" w:hAnsi="宋体" w:eastAsia="宋体" w:cs="宋体"/>
          <w:sz w:val="28"/>
          <w:highlight w:val="none"/>
        </w:rPr>
        <w:t>(九)法定代表人（负责人）身份证明书</w:t>
      </w:r>
      <w:bookmarkEnd w:id="331"/>
    </w:p>
    <w:p w14:paraId="7C7E3633">
      <w:pPr>
        <w:pStyle w:val="281"/>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兹证明</w:t>
      </w:r>
      <w:r>
        <w:rPr>
          <w:rFonts w:hint="eastAsia" w:ascii="宋体" w:hAnsi="宋体"/>
          <w:color w:val="000000"/>
          <w:sz w:val="28"/>
          <w:szCs w:val="28"/>
          <w:highlight w:val="none"/>
          <w:u w:val="single"/>
        </w:rPr>
        <w:t xml:space="preserve"> （姓名</w:t>
      </w:r>
      <w:r>
        <w:rPr>
          <w:rFonts w:hint="eastAsia" w:ascii="宋体" w:hAnsi="宋体"/>
          <w:color w:val="000000"/>
          <w:sz w:val="28"/>
          <w:highlight w:val="none"/>
          <w:u w:val="single"/>
        </w:rPr>
        <w:t xml:space="preserve">） </w:t>
      </w:r>
      <w:r>
        <w:rPr>
          <w:rFonts w:hint="eastAsia" w:ascii="宋体" w:hAnsi="宋体"/>
          <w:color w:val="000000"/>
          <w:sz w:val="28"/>
          <w:szCs w:val="28"/>
          <w:highlight w:val="none"/>
        </w:rPr>
        <w:t>同志，性别</w:t>
      </w:r>
      <w:r>
        <w:rPr>
          <w:rFonts w:hint="eastAsia" w:ascii="宋体" w:hAnsi="宋体"/>
          <w:color w:val="000000"/>
          <w:sz w:val="28"/>
          <w:szCs w:val="28"/>
          <w:highlight w:val="none"/>
          <w:u w:val="single"/>
        </w:rPr>
        <w:t xml:space="preserve"> （男/女） </w:t>
      </w:r>
      <w:r>
        <w:rPr>
          <w:rFonts w:hint="eastAsia" w:ascii="宋体" w:hAnsi="宋体"/>
          <w:color w:val="000000"/>
          <w:sz w:val="28"/>
          <w:szCs w:val="28"/>
          <w:highlight w:val="none"/>
        </w:rPr>
        <w:t>，</w:t>
      </w:r>
      <w:r>
        <w:rPr>
          <w:rFonts w:hint="eastAsia" w:ascii="宋体" w:hAnsi="宋体"/>
          <w:color w:val="000000"/>
          <w:sz w:val="28"/>
          <w:highlight w:val="none"/>
        </w:rPr>
        <w:t>居民身份证号</w:t>
      </w:r>
      <w:r>
        <w:rPr>
          <w:rFonts w:hint="eastAsia" w:ascii="宋体" w:hAnsi="宋体"/>
          <w:color w:val="000000"/>
          <w:sz w:val="28"/>
          <w:szCs w:val="28"/>
          <w:highlight w:val="none"/>
          <w:u w:val="single"/>
        </w:rPr>
        <w:t xml:space="preserve"> （身份证号码） </w:t>
      </w:r>
      <w:r>
        <w:rPr>
          <w:rFonts w:hint="eastAsia" w:ascii="宋体" w:hAnsi="宋体"/>
          <w:color w:val="000000"/>
          <w:sz w:val="28"/>
          <w:szCs w:val="28"/>
          <w:highlight w:val="none"/>
        </w:rPr>
        <w:t>，在我单位任</w:t>
      </w:r>
      <w:r>
        <w:rPr>
          <w:rFonts w:hint="eastAsia" w:ascii="宋体" w:hAnsi="宋体"/>
          <w:color w:val="000000"/>
          <w:sz w:val="28"/>
          <w:szCs w:val="28"/>
          <w:highlight w:val="none"/>
          <w:u w:val="single"/>
        </w:rPr>
        <w:t xml:space="preserve"> （职务） </w:t>
      </w:r>
      <w:r>
        <w:rPr>
          <w:rFonts w:hint="eastAsia" w:ascii="宋体" w:hAnsi="宋体"/>
          <w:color w:val="000000"/>
          <w:sz w:val="28"/>
          <w:highlight w:val="none"/>
        </w:rPr>
        <w:t>，系我单位主要负责人即法定代表人</w:t>
      </w:r>
      <w:r>
        <w:rPr>
          <w:rFonts w:hint="eastAsia" w:ascii="宋体" w:hAnsi="宋体"/>
          <w:color w:val="000000"/>
          <w:sz w:val="28"/>
          <w:szCs w:val="28"/>
          <w:highlight w:val="none"/>
        </w:rPr>
        <w:t>。</w:t>
      </w:r>
    </w:p>
    <w:p w14:paraId="2F74AE49">
      <w:pPr>
        <w:pStyle w:val="281"/>
        <w:spacing w:line="360" w:lineRule="auto"/>
        <w:ind w:firstLine="560"/>
        <w:rPr>
          <w:rFonts w:ascii="宋体" w:hAnsi="宋体"/>
          <w:color w:val="000000"/>
          <w:sz w:val="28"/>
          <w:szCs w:val="28"/>
          <w:highlight w:val="none"/>
        </w:rPr>
      </w:pPr>
    </w:p>
    <w:p w14:paraId="5A6DC7C2">
      <w:pPr>
        <w:pStyle w:val="281"/>
        <w:spacing w:line="360" w:lineRule="auto"/>
        <w:ind w:firstLine="560"/>
        <w:rPr>
          <w:rFonts w:ascii="宋体" w:hAnsi="宋体"/>
          <w:color w:val="000000"/>
          <w:sz w:val="28"/>
          <w:szCs w:val="28"/>
          <w:highlight w:val="none"/>
        </w:rPr>
      </w:pPr>
    </w:p>
    <w:p w14:paraId="46CF5EFD">
      <w:pPr>
        <w:pStyle w:val="281"/>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单位地址：</w:t>
      </w:r>
      <w:r>
        <w:rPr>
          <w:rFonts w:hint="eastAsia" w:ascii="宋体" w:hAnsi="宋体"/>
          <w:b/>
          <w:color w:val="000000"/>
          <w:sz w:val="24"/>
          <w:highlight w:val="none"/>
          <w:u w:val="single"/>
        </w:rPr>
        <w:t>××</w:t>
      </w:r>
    </w:p>
    <w:p w14:paraId="4DE185D2">
      <w:pPr>
        <w:pStyle w:val="281"/>
        <w:spacing w:line="360" w:lineRule="auto"/>
        <w:ind w:firstLine="560"/>
        <w:rPr>
          <w:rFonts w:ascii="宋体" w:hAnsi="宋体"/>
          <w:color w:val="000000"/>
          <w:sz w:val="28"/>
          <w:szCs w:val="28"/>
          <w:highlight w:val="none"/>
        </w:rPr>
      </w:pPr>
    </w:p>
    <w:p w14:paraId="7B98AED7">
      <w:pPr>
        <w:pStyle w:val="281"/>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电    话：</w:t>
      </w:r>
      <w:r>
        <w:rPr>
          <w:rFonts w:hint="eastAsia" w:ascii="宋体" w:hAnsi="宋体"/>
          <w:b/>
          <w:color w:val="000000"/>
          <w:sz w:val="24"/>
          <w:highlight w:val="none"/>
          <w:u w:val="single"/>
        </w:rPr>
        <w:t>××</w:t>
      </w:r>
    </w:p>
    <w:p w14:paraId="3F616D3D">
      <w:pPr>
        <w:pStyle w:val="281"/>
        <w:spacing w:line="360" w:lineRule="auto"/>
        <w:ind w:firstLine="560"/>
        <w:rPr>
          <w:rFonts w:ascii="宋体" w:hAnsi="宋体"/>
          <w:color w:val="000000"/>
          <w:sz w:val="28"/>
          <w:szCs w:val="28"/>
          <w:highlight w:val="none"/>
        </w:rPr>
      </w:pPr>
    </w:p>
    <w:p w14:paraId="0187649C">
      <w:pPr>
        <w:pStyle w:val="281"/>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 xml:space="preserve">单位全称： </w:t>
      </w:r>
      <w:r>
        <w:rPr>
          <w:rFonts w:hint="eastAsia" w:ascii="宋体" w:hAnsi="宋体"/>
          <w:b/>
          <w:color w:val="000000"/>
          <w:sz w:val="24"/>
          <w:highlight w:val="none"/>
          <w:u w:val="single"/>
        </w:rPr>
        <w:t>××</w:t>
      </w:r>
    </w:p>
    <w:p w14:paraId="130DB7CC">
      <w:pPr>
        <w:pStyle w:val="281"/>
        <w:spacing w:line="360" w:lineRule="auto"/>
        <w:ind w:firstLine="560"/>
        <w:rPr>
          <w:rFonts w:ascii="宋体" w:hAnsi="宋体"/>
          <w:color w:val="000000"/>
          <w:sz w:val="28"/>
          <w:szCs w:val="28"/>
          <w:highlight w:val="none"/>
        </w:rPr>
      </w:pPr>
    </w:p>
    <w:p w14:paraId="3DFF1852">
      <w:pPr>
        <w:pStyle w:val="281"/>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 xml:space="preserve">单位盖章： </w:t>
      </w:r>
      <w:r>
        <w:rPr>
          <w:rFonts w:hint="eastAsia" w:ascii="宋体" w:hAnsi="宋体"/>
          <w:b/>
          <w:color w:val="000000"/>
          <w:sz w:val="24"/>
          <w:highlight w:val="none"/>
          <w:u w:val="single"/>
        </w:rPr>
        <w:t>××</w:t>
      </w:r>
    </w:p>
    <w:p w14:paraId="0369385E">
      <w:pPr>
        <w:pStyle w:val="281"/>
        <w:spacing w:line="360" w:lineRule="auto"/>
        <w:ind w:firstLine="560"/>
        <w:jc w:val="center"/>
        <w:rPr>
          <w:rFonts w:ascii="宋体" w:hAnsi="宋体"/>
          <w:color w:val="000000"/>
          <w:sz w:val="28"/>
          <w:szCs w:val="28"/>
          <w:highlight w:val="none"/>
        </w:rPr>
      </w:pPr>
    </w:p>
    <w:p w14:paraId="3D9936EE">
      <w:pPr>
        <w:pStyle w:val="281"/>
        <w:spacing w:line="360" w:lineRule="auto"/>
        <w:ind w:firstLine="560"/>
        <w:jc w:val="right"/>
        <w:rPr>
          <w:rFonts w:ascii="宋体" w:hAnsi="宋体"/>
          <w:color w:val="000000"/>
          <w:sz w:val="28"/>
          <w:szCs w:val="28"/>
          <w:highlight w:val="none"/>
        </w:rPr>
      </w:pPr>
    </w:p>
    <w:p w14:paraId="460D32C6">
      <w:pPr>
        <w:pStyle w:val="281"/>
        <w:tabs>
          <w:tab w:val="left" w:pos="7290"/>
        </w:tabs>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 xml:space="preserve">                                 年     月    日</w:t>
      </w:r>
    </w:p>
    <w:p w14:paraId="12B031A1">
      <w:pPr>
        <w:pStyle w:val="281"/>
        <w:spacing w:line="360" w:lineRule="auto"/>
        <w:ind w:firstLine="560"/>
        <w:rPr>
          <w:rFonts w:ascii="宋体" w:hAnsi="宋体"/>
          <w:color w:val="000000"/>
          <w:sz w:val="28"/>
          <w:highlight w:val="none"/>
        </w:rPr>
      </w:pPr>
    </w:p>
    <w:p w14:paraId="3BD89828">
      <w:pPr>
        <w:pStyle w:val="281"/>
        <w:spacing w:line="360" w:lineRule="auto"/>
        <w:ind w:firstLine="643"/>
        <w:jc w:val="left"/>
        <w:rPr>
          <w:rFonts w:ascii="宋体" w:hAnsi="宋体"/>
          <w:b/>
          <w:color w:val="000000"/>
          <w:sz w:val="32"/>
          <w:szCs w:val="32"/>
          <w:highlight w:val="none"/>
        </w:rPr>
      </w:pPr>
      <w:r>
        <w:rPr>
          <w:rFonts w:hint="eastAsia" w:ascii="宋体" w:hAnsi="宋体"/>
          <w:b/>
          <w:color w:val="000000"/>
          <w:sz w:val="32"/>
          <w:szCs w:val="32"/>
          <w:highlight w:val="none"/>
        </w:rPr>
        <w:t>附：法定代表人居民身份证扫描件</w:t>
      </w:r>
    </w:p>
    <w:p w14:paraId="68B67526">
      <w:pPr>
        <w:pStyle w:val="281"/>
        <w:tabs>
          <w:tab w:val="left" w:pos="7290"/>
        </w:tabs>
        <w:spacing w:line="360" w:lineRule="auto"/>
        <w:ind w:firstLine="560"/>
        <w:rPr>
          <w:rFonts w:ascii="宋体" w:hAnsi="宋体"/>
          <w:color w:val="000000"/>
          <w:sz w:val="28"/>
          <w:highlight w:val="none"/>
        </w:rPr>
      </w:pPr>
      <w:r>
        <w:rPr>
          <w:rFonts w:hint="eastAsia" w:ascii="宋体" w:hAnsi="宋体"/>
          <w:color w:val="000000"/>
          <w:sz w:val="28"/>
          <w:highlight w:val="none"/>
          <w:u w:val="single"/>
        </w:rPr>
        <w:t>注：1.“法定代表人”直接参加磋商响应活动的仅需填写本身份证明</w:t>
      </w:r>
      <w:r>
        <w:rPr>
          <w:rFonts w:hint="eastAsia" w:ascii="宋体" w:hAnsi="宋体"/>
          <w:color w:val="000000"/>
          <w:sz w:val="28"/>
          <w:highlight w:val="none"/>
        </w:rPr>
        <w:t>。</w:t>
      </w:r>
    </w:p>
    <w:p w14:paraId="00A14303">
      <w:pPr>
        <w:pStyle w:val="281"/>
        <w:tabs>
          <w:tab w:val="left" w:pos="7290"/>
        </w:tabs>
        <w:spacing w:line="360" w:lineRule="auto"/>
        <w:ind w:firstLine="562"/>
        <w:rPr>
          <w:rFonts w:ascii="宋体" w:hAnsi="宋体"/>
          <w:b/>
          <w:color w:val="000000"/>
          <w:sz w:val="28"/>
          <w:szCs w:val="28"/>
          <w:highlight w:val="none"/>
          <w:u w:val="single"/>
        </w:rPr>
      </w:pPr>
      <w:r>
        <w:rPr>
          <w:rFonts w:hint="eastAsia" w:ascii="宋体" w:hAnsi="宋体"/>
          <w:b/>
          <w:color w:val="000000"/>
          <w:sz w:val="28"/>
          <w:szCs w:val="28"/>
          <w:highlight w:val="none"/>
          <w:u w:val="single"/>
        </w:rPr>
        <w:t>2.供应商</w:t>
      </w:r>
      <w:r>
        <w:rPr>
          <w:rFonts w:ascii="宋体" w:hAnsi="宋体"/>
          <w:b/>
          <w:color w:val="000000"/>
          <w:sz w:val="28"/>
          <w:szCs w:val="28"/>
          <w:highlight w:val="none"/>
          <w:u w:val="single"/>
        </w:rPr>
        <w:t>属于非法人组织的，按照法律、行政法规规定能够对外代表其从事民事活动的主要负责人，如个人独资企业的投资人，代表合伙企业执行合伙企业事务的合伙人等，视同法定代表人。</w:t>
      </w:r>
    </w:p>
    <w:p w14:paraId="07850361">
      <w:pPr>
        <w:pStyle w:val="282"/>
        <w:jc w:val="center"/>
        <w:outlineLvl w:val="2"/>
        <w:rPr>
          <w:highlight w:val="none"/>
        </w:rPr>
      </w:pPr>
      <w:r>
        <w:rPr>
          <w:highlight w:val="none"/>
        </w:rPr>
        <w:br w:type="page" w:clear="all"/>
      </w:r>
      <w:bookmarkStart w:id="332" w:name="_Toc9661"/>
      <w:r>
        <w:rPr>
          <w:rFonts w:ascii="宋体" w:hAnsi="宋体" w:eastAsia="宋体" w:cs="宋体"/>
          <w:sz w:val="28"/>
          <w:highlight w:val="none"/>
        </w:rPr>
        <w:t>(十)法定代表人（负责人）授权委托书</w:t>
      </w:r>
      <w:bookmarkEnd w:id="332"/>
    </w:p>
    <w:p w14:paraId="4519B212">
      <w:pPr>
        <w:pStyle w:val="241"/>
        <w:spacing w:line="360" w:lineRule="auto"/>
        <w:ind w:right="420" w:firstLine="560"/>
        <w:rPr>
          <w:rFonts w:ascii="宋体" w:hAnsi="宋体"/>
          <w:color w:val="000000"/>
          <w:sz w:val="28"/>
          <w:highlight w:val="none"/>
          <w:lang w:val="en-US" w:eastAsia="zh-CN"/>
        </w:rPr>
      </w:pPr>
      <w:r>
        <w:rPr>
          <w:rFonts w:hint="eastAsia" w:ascii="宋体" w:hAnsi="宋体"/>
          <w:color w:val="000000"/>
          <w:sz w:val="28"/>
          <w:highlight w:val="none"/>
          <w:lang w:val="en-US" w:eastAsia="zh-CN"/>
        </w:rPr>
        <w:t>本授权书声明：</w:t>
      </w:r>
      <w:r>
        <w:rPr>
          <w:rFonts w:hint="eastAsia" w:ascii="宋体" w:hAnsi="宋体"/>
          <w:color w:val="000000"/>
          <w:sz w:val="28"/>
          <w:highlight w:val="none"/>
          <w:u w:val="single"/>
          <w:lang w:val="en-US" w:eastAsia="zh-CN"/>
        </w:rPr>
        <w:t xml:space="preserve"> （供应商名称） </w:t>
      </w:r>
      <w:r>
        <w:rPr>
          <w:rFonts w:hint="eastAsia" w:ascii="宋体" w:hAnsi="宋体"/>
          <w:color w:val="000000"/>
          <w:sz w:val="28"/>
          <w:highlight w:val="none"/>
          <w:lang w:val="en-US" w:eastAsia="zh-CN"/>
        </w:rPr>
        <w:t>法定代表人（负责人）</w:t>
      </w:r>
      <w:r>
        <w:rPr>
          <w:rFonts w:hint="eastAsia" w:ascii="宋体" w:hAnsi="宋体"/>
          <w:color w:val="000000"/>
          <w:sz w:val="28"/>
          <w:highlight w:val="none"/>
          <w:u w:val="single"/>
          <w:lang w:val="en-US" w:eastAsia="zh-CN"/>
        </w:rPr>
        <w:t xml:space="preserve"> （姓名） </w:t>
      </w:r>
      <w:r>
        <w:rPr>
          <w:rFonts w:hint="eastAsia" w:ascii="宋体" w:hAnsi="宋体"/>
          <w:color w:val="000000"/>
          <w:sz w:val="28"/>
          <w:highlight w:val="none"/>
          <w:lang w:val="en-US" w:eastAsia="zh-CN"/>
        </w:rPr>
        <w:t>授权</w:t>
      </w:r>
      <w:r>
        <w:rPr>
          <w:rFonts w:hint="eastAsia" w:ascii="宋体" w:hAnsi="宋体"/>
          <w:color w:val="000000"/>
          <w:sz w:val="28"/>
          <w:highlight w:val="none"/>
          <w:u w:val="single"/>
          <w:lang w:val="en-US" w:eastAsia="zh-CN"/>
        </w:rPr>
        <w:t>（委托代理人的姓名、职务）</w:t>
      </w:r>
      <w:r>
        <w:rPr>
          <w:rFonts w:hint="eastAsia" w:ascii="宋体" w:hAnsi="宋体"/>
          <w:color w:val="000000"/>
          <w:sz w:val="28"/>
          <w:highlight w:val="none"/>
          <w:lang w:val="en-US" w:eastAsia="zh-CN"/>
        </w:rPr>
        <w:t>为我方就</w:t>
      </w:r>
      <w:r>
        <w:rPr>
          <w:rFonts w:hint="eastAsia" w:ascii="宋体" w:hAnsi="宋体"/>
          <w:color w:val="000000"/>
          <w:sz w:val="28"/>
          <w:highlight w:val="none"/>
          <w:u w:val="single"/>
          <w:lang w:val="en-US" w:eastAsia="zh-CN"/>
        </w:rPr>
        <w:t>××××（代理机构）代理的××××（项目编号、项目名称）</w:t>
      </w:r>
      <w:r>
        <w:rPr>
          <w:rFonts w:hint="eastAsia" w:ascii="宋体" w:hAnsi="宋体"/>
          <w:bCs/>
          <w:color w:val="000000"/>
          <w:sz w:val="28"/>
          <w:highlight w:val="none"/>
          <w:lang w:val="en-US" w:eastAsia="zh-CN"/>
        </w:rPr>
        <w:t>项目</w:t>
      </w:r>
      <w:r>
        <w:rPr>
          <w:rFonts w:hint="eastAsia" w:ascii="宋体" w:hAnsi="宋体"/>
          <w:color w:val="000000"/>
          <w:sz w:val="28"/>
          <w:highlight w:val="none"/>
          <w:lang w:val="en-US" w:eastAsia="zh-CN"/>
        </w:rPr>
        <w:t>的谈判活动的合法代理人，以本单位名义全权处理一切与该项目谈判有关的事务（含合同签订）。</w:t>
      </w:r>
    </w:p>
    <w:p w14:paraId="66BBEDF3">
      <w:pPr>
        <w:pStyle w:val="241"/>
        <w:tabs>
          <w:tab w:val="left" w:pos="5560"/>
        </w:tabs>
        <w:spacing w:line="360" w:lineRule="auto"/>
        <w:ind w:firstLine="560"/>
        <w:rPr>
          <w:rFonts w:ascii="宋体" w:hAnsi="宋体"/>
          <w:color w:val="000000"/>
          <w:sz w:val="28"/>
          <w:highlight w:val="none"/>
          <w:lang w:val="en-US" w:eastAsia="zh-CN"/>
        </w:rPr>
      </w:pPr>
      <w:r>
        <w:rPr>
          <w:rFonts w:hint="eastAsia" w:ascii="宋体" w:hAnsi="宋体"/>
          <w:color w:val="000000"/>
          <w:sz w:val="28"/>
          <w:highlight w:val="none"/>
          <w:lang w:val="en-US" w:eastAsia="zh-CN"/>
        </w:rPr>
        <w:tab/>
      </w:r>
    </w:p>
    <w:p w14:paraId="53694EA9">
      <w:pPr>
        <w:pStyle w:val="201"/>
        <w:rPr>
          <w:highlight w:val="none"/>
          <w:lang w:val="en-US" w:eastAsia="zh-CN"/>
        </w:rPr>
      </w:pPr>
      <w:r>
        <w:rPr>
          <w:rFonts w:hint="eastAsia" w:ascii="宋体" w:hAnsi="宋体"/>
          <w:color w:val="000000"/>
          <w:sz w:val="28"/>
          <w:highlight w:val="none"/>
          <w:lang w:val="en-US" w:eastAsia="zh-CN"/>
        </w:rPr>
        <w:t>本授权委托书于</w:t>
      </w:r>
      <w:r>
        <w:rPr>
          <w:rFonts w:hint="eastAsia" w:ascii="宋体" w:hAnsi="宋体"/>
          <w:color w:val="000000"/>
          <w:sz w:val="28"/>
          <w:highlight w:val="none"/>
          <w:u w:val="single"/>
          <w:lang w:val="en-US" w:eastAsia="zh-CN"/>
        </w:rPr>
        <w:t xml:space="preserve">  </w:t>
      </w:r>
      <w:r>
        <w:rPr>
          <w:rFonts w:hint="eastAsia" w:ascii="宋体" w:hAnsi="宋体"/>
          <w:color w:val="000000"/>
          <w:sz w:val="28"/>
          <w:highlight w:val="none"/>
          <w:lang w:val="en-US" w:eastAsia="zh-CN"/>
        </w:rPr>
        <w:t>年</w:t>
      </w:r>
      <w:r>
        <w:rPr>
          <w:rFonts w:hint="eastAsia" w:ascii="宋体" w:hAnsi="宋体"/>
          <w:color w:val="000000"/>
          <w:sz w:val="28"/>
          <w:highlight w:val="none"/>
          <w:u w:val="single"/>
          <w:lang w:val="en-US" w:eastAsia="zh-CN"/>
        </w:rPr>
        <w:t xml:space="preserve">  </w:t>
      </w:r>
      <w:r>
        <w:rPr>
          <w:rFonts w:hint="eastAsia" w:ascii="宋体" w:hAnsi="宋体"/>
          <w:color w:val="000000"/>
          <w:sz w:val="28"/>
          <w:highlight w:val="none"/>
          <w:lang w:val="en-US" w:eastAsia="zh-CN"/>
        </w:rPr>
        <w:t>月</w:t>
      </w:r>
      <w:r>
        <w:rPr>
          <w:rFonts w:hint="eastAsia" w:ascii="宋体" w:hAnsi="宋体"/>
          <w:color w:val="000000"/>
          <w:sz w:val="28"/>
          <w:highlight w:val="none"/>
          <w:u w:val="single"/>
          <w:lang w:val="en-US" w:eastAsia="zh-CN"/>
        </w:rPr>
        <w:t xml:space="preserve">  </w:t>
      </w:r>
      <w:r>
        <w:rPr>
          <w:rFonts w:hint="eastAsia" w:ascii="宋体" w:hAnsi="宋体"/>
          <w:color w:val="000000"/>
          <w:sz w:val="28"/>
          <w:highlight w:val="none"/>
          <w:lang w:val="en-US" w:eastAsia="zh-CN"/>
        </w:rPr>
        <w:t>日在</w:t>
      </w:r>
      <w:r>
        <w:rPr>
          <w:rFonts w:ascii="宋体" w:hAnsi="宋体"/>
          <w:color w:val="000000"/>
          <w:sz w:val="28"/>
          <w:highlight w:val="none"/>
          <w:lang w:val="en-US" w:eastAsia="zh-CN"/>
        </w:rPr>
        <w:t>相应位置</w:t>
      </w:r>
      <w:r>
        <w:rPr>
          <w:rFonts w:hint="eastAsia" w:ascii="宋体" w:hAnsi="宋体"/>
          <w:color w:val="000000"/>
          <w:sz w:val="28"/>
          <w:highlight w:val="none"/>
          <w:lang w:val="en-US" w:eastAsia="zh-CN"/>
        </w:rPr>
        <w:t>签字或盖章</w:t>
      </w:r>
      <w:r>
        <w:rPr>
          <w:rFonts w:ascii="宋体" w:hAnsi="宋体"/>
          <w:color w:val="000000"/>
          <w:sz w:val="28"/>
          <w:highlight w:val="none"/>
          <w:lang w:val="en-US" w:eastAsia="zh-CN"/>
        </w:rPr>
        <w:t>后生效</w:t>
      </w:r>
      <w:r>
        <w:rPr>
          <w:rFonts w:hint="eastAsia" w:ascii="宋体" w:hAnsi="宋体"/>
          <w:color w:val="000000"/>
          <w:sz w:val="28"/>
          <w:highlight w:val="none"/>
          <w:lang w:val="en-US" w:eastAsia="zh-CN"/>
        </w:rPr>
        <w:t>，特此声明。</w:t>
      </w:r>
    </w:p>
    <w:p w14:paraId="502D9C35">
      <w:pPr>
        <w:pStyle w:val="241"/>
        <w:spacing w:line="360" w:lineRule="auto"/>
        <w:ind w:firstLine="560"/>
        <w:rPr>
          <w:rFonts w:ascii="宋体" w:hAnsi="宋体"/>
          <w:color w:val="000000"/>
          <w:sz w:val="28"/>
          <w:highlight w:val="none"/>
          <w:lang w:val="en-US" w:eastAsia="zh-CN"/>
        </w:rPr>
      </w:pPr>
      <w:r>
        <w:rPr>
          <w:rFonts w:hint="eastAsia" w:ascii="宋体" w:hAnsi="宋体"/>
          <w:color w:val="000000"/>
          <w:sz w:val="28"/>
          <w:highlight w:val="none"/>
          <w:lang w:val="en-US" w:eastAsia="zh-CN"/>
        </w:rPr>
        <w:t>委托代理人身份证号码：</w:t>
      </w:r>
      <w:r>
        <w:rPr>
          <w:rFonts w:hint="eastAsia" w:ascii="宋体" w:hAnsi="宋体"/>
          <w:color w:val="000000"/>
          <w:sz w:val="24"/>
          <w:szCs w:val="24"/>
          <w:highlight w:val="none"/>
          <w:u w:val="single"/>
          <w:lang w:val="en-US" w:eastAsia="zh-CN"/>
        </w:rPr>
        <w:t xml:space="preserve">                              </w:t>
      </w:r>
    </w:p>
    <w:p w14:paraId="706F521E">
      <w:pPr>
        <w:pStyle w:val="241"/>
        <w:spacing w:line="360" w:lineRule="auto"/>
        <w:ind w:firstLine="560"/>
        <w:rPr>
          <w:rFonts w:ascii="宋体" w:hAnsi="宋体"/>
          <w:color w:val="000000"/>
          <w:sz w:val="28"/>
          <w:highlight w:val="none"/>
          <w:lang w:val="en-US" w:eastAsia="zh-CN"/>
        </w:rPr>
      </w:pPr>
      <w:r>
        <w:rPr>
          <w:rFonts w:hint="eastAsia" w:ascii="宋体" w:hAnsi="宋体"/>
          <w:color w:val="000000"/>
          <w:sz w:val="28"/>
          <w:highlight w:val="none"/>
          <w:lang w:val="en-US" w:eastAsia="zh-CN"/>
        </w:rPr>
        <w:t>委托代理人联系电话：（手机）</w:t>
      </w:r>
      <w:r>
        <w:rPr>
          <w:rFonts w:hint="eastAsia" w:ascii="宋体" w:hAnsi="宋体"/>
          <w:color w:val="000000"/>
          <w:sz w:val="24"/>
          <w:szCs w:val="24"/>
          <w:highlight w:val="none"/>
          <w:u w:val="single"/>
          <w:lang w:val="en-US" w:eastAsia="zh-CN"/>
        </w:rPr>
        <w:t xml:space="preserve">                          </w:t>
      </w:r>
    </w:p>
    <w:p w14:paraId="70473587">
      <w:pPr>
        <w:pStyle w:val="241"/>
        <w:spacing w:line="360" w:lineRule="auto"/>
        <w:ind w:firstLine="560"/>
        <w:rPr>
          <w:rFonts w:ascii="宋体" w:hAnsi="宋体"/>
          <w:color w:val="000000"/>
          <w:sz w:val="28"/>
          <w:highlight w:val="none"/>
          <w:u w:val="single"/>
          <w:lang w:val="en-US" w:eastAsia="zh-CN"/>
        </w:rPr>
      </w:pPr>
      <w:r>
        <w:rPr>
          <w:rFonts w:hint="eastAsia" w:ascii="宋体" w:hAnsi="宋体"/>
          <w:color w:val="000000"/>
          <w:sz w:val="28"/>
          <w:highlight w:val="none"/>
          <w:lang w:val="en-US" w:eastAsia="zh-CN"/>
        </w:rPr>
        <w:t>法定代表人（负责人）签章</w:t>
      </w:r>
      <w:r>
        <w:rPr>
          <w:rFonts w:hint="eastAsia" w:ascii="宋体" w:hAnsi="宋体"/>
          <w:color w:val="000000"/>
          <w:sz w:val="28"/>
          <w:highlight w:val="none"/>
          <w:u w:val="single"/>
          <w:lang w:val="en-US" w:eastAsia="zh-CN"/>
        </w:rPr>
        <w:t xml:space="preserve">：                        </w:t>
      </w:r>
    </w:p>
    <w:p w14:paraId="6D4C4D39">
      <w:pPr>
        <w:pStyle w:val="241"/>
        <w:spacing w:line="360" w:lineRule="auto"/>
        <w:ind w:firstLine="560"/>
        <w:rPr>
          <w:rFonts w:ascii="宋体" w:hAnsi="宋体"/>
          <w:color w:val="000000"/>
          <w:sz w:val="28"/>
          <w:highlight w:val="none"/>
          <w:u w:val="single"/>
          <w:lang w:val="en-US" w:eastAsia="zh-CN"/>
        </w:rPr>
      </w:pPr>
      <w:r>
        <w:rPr>
          <w:rFonts w:hint="eastAsia" w:ascii="宋体" w:hAnsi="宋体"/>
          <w:color w:val="000000"/>
          <w:sz w:val="28"/>
          <w:highlight w:val="none"/>
          <w:lang w:val="en-US" w:eastAsia="zh-CN"/>
        </w:rPr>
        <w:t xml:space="preserve">          </w:t>
      </w:r>
    </w:p>
    <w:p w14:paraId="2886D2EF">
      <w:pPr>
        <w:pStyle w:val="241"/>
        <w:spacing w:line="360" w:lineRule="auto"/>
        <w:ind w:firstLine="560"/>
        <w:rPr>
          <w:rFonts w:ascii="宋体" w:hAnsi="宋体"/>
          <w:color w:val="000000"/>
          <w:sz w:val="28"/>
          <w:highlight w:val="none"/>
          <w:lang w:val="en-US" w:eastAsia="zh-CN"/>
        </w:rPr>
      </w:pPr>
    </w:p>
    <w:p w14:paraId="585471E2">
      <w:pPr>
        <w:pStyle w:val="241"/>
        <w:spacing w:line="360" w:lineRule="auto"/>
        <w:ind w:firstLine="560"/>
        <w:rPr>
          <w:rFonts w:ascii="宋体" w:hAnsi="宋体"/>
          <w:color w:val="000000"/>
          <w:sz w:val="28"/>
          <w:highlight w:val="none"/>
          <w:lang w:val="en-US" w:eastAsia="zh-CN"/>
        </w:rPr>
      </w:pPr>
    </w:p>
    <w:p w14:paraId="1491BC21">
      <w:pPr>
        <w:pStyle w:val="241"/>
        <w:spacing w:line="360" w:lineRule="auto"/>
        <w:ind w:firstLine="560"/>
        <w:rPr>
          <w:rFonts w:ascii="宋体" w:hAnsi="宋体"/>
          <w:color w:val="000000"/>
          <w:sz w:val="28"/>
          <w:highlight w:val="none"/>
          <w:lang w:val="en-US" w:eastAsia="zh-CN"/>
        </w:rPr>
      </w:pPr>
    </w:p>
    <w:p w14:paraId="414E9A0C">
      <w:pPr>
        <w:pStyle w:val="241"/>
        <w:spacing w:line="360" w:lineRule="auto"/>
        <w:ind w:firstLine="560"/>
        <w:rPr>
          <w:rFonts w:ascii="宋体" w:hAnsi="宋体"/>
          <w:color w:val="000000"/>
          <w:sz w:val="28"/>
          <w:highlight w:val="none"/>
          <w:lang w:val="en-US" w:eastAsia="zh-CN"/>
        </w:rPr>
      </w:pPr>
      <w:r>
        <w:rPr>
          <w:rFonts w:hint="eastAsia" w:ascii="宋体" w:hAnsi="宋体"/>
          <w:color w:val="000000"/>
          <w:sz w:val="28"/>
          <w:highlight w:val="none"/>
          <w:lang w:val="en-US" w:eastAsia="zh-CN"/>
        </w:rPr>
        <w:t>供应商名称（公章）：</w:t>
      </w:r>
    </w:p>
    <w:p w14:paraId="08F34668">
      <w:pPr>
        <w:pStyle w:val="241"/>
        <w:spacing w:line="360" w:lineRule="auto"/>
        <w:ind w:firstLine="560"/>
        <w:rPr>
          <w:rFonts w:ascii="宋体" w:hAnsi="宋体"/>
          <w:color w:val="000000"/>
          <w:sz w:val="28"/>
          <w:highlight w:val="none"/>
          <w:u w:val="single"/>
          <w:lang w:val="en-US" w:eastAsia="zh-CN"/>
        </w:rPr>
      </w:pPr>
      <w:r>
        <w:rPr>
          <w:rFonts w:hint="eastAsia" w:ascii="宋体" w:hAnsi="宋体"/>
          <w:color w:val="000000"/>
          <w:sz w:val="28"/>
          <w:highlight w:val="none"/>
          <w:lang w:val="en-US" w:eastAsia="zh-CN"/>
        </w:rPr>
        <w:t>日     期：</w:t>
      </w:r>
    </w:p>
    <w:p w14:paraId="034A8100">
      <w:pPr>
        <w:pStyle w:val="241"/>
        <w:spacing w:line="360" w:lineRule="auto"/>
        <w:ind w:firstLine="643"/>
        <w:rPr>
          <w:rFonts w:ascii="宋体" w:hAnsi="宋体"/>
          <w:color w:val="000000"/>
          <w:sz w:val="28"/>
          <w:highlight w:val="none"/>
          <w:u w:val="single"/>
          <w:lang w:val="en-US" w:eastAsia="zh-CN"/>
        </w:rPr>
      </w:pPr>
      <w:r>
        <w:rPr>
          <w:rFonts w:hint="eastAsia" w:ascii="宋体" w:hAnsi="宋体"/>
          <w:b/>
          <w:color w:val="000000"/>
          <w:sz w:val="32"/>
          <w:szCs w:val="32"/>
          <w:highlight w:val="none"/>
          <w:lang w:val="en-US" w:eastAsia="zh-CN"/>
        </w:rPr>
        <w:t>附：委托代理人居民身份证扫描件</w:t>
      </w:r>
    </w:p>
    <w:p w14:paraId="17FEAF81">
      <w:pPr>
        <w:pStyle w:val="201"/>
        <w:rPr>
          <w:highlight w:val="none"/>
          <w:lang w:val="en-US" w:eastAsia="zh-CN"/>
        </w:rPr>
      </w:pPr>
      <w:r>
        <w:rPr>
          <w:rFonts w:hint="eastAsia" w:ascii="宋体" w:hAnsi="宋体"/>
          <w:color w:val="000000"/>
          <w:sz w:val="28"/>
          <w:szCs w:val="28"/>
          <w:highlight w:val="none"/>
          <w:u w:val="single"/>
          <w:lang w:val="en-US" w:eastAsia="zh-CN"/>
        </w:rPr>
        <w:t>注：</w:t>
      </w:r>
      <w:r>
        <w:rPr>
          <w:rFonts w:hint="eastAsia" w:ascii="宋体" w:hAnsi="宋体"/>
          <w:sz w:val="28"/>
          <w:szCs w:val="28"/>
          <w:highlight w:val="none"/>
          <w:u w:val="single"/>
          <w:lang w:val="en-US" w:eastAsia="zh-CN"/>
        </w:rPr>
        <w:t>“法定代表人（负责人）”授权委托其他人（必须为供应商正式员工，证明材料扫描件：参加本次政府采购活动前半年内至少一个月依法缴纳社保的材料扫描件附后）磋商的，须填写法定代表人证明书和本授权委托书</w:t>
      </w:r>
      <w:r>
        <w:rPr>
          <w:rFonts w:hint="eastAsia" w:ascii="宋体" w:hAnsi="宋体"/>
          <w:color w:val="000000"/>
          <w:sz w:val="28"/>
          <w:highlight w:val="none"/>
          <w:lang w:val="en-US" w:eastAsia="zh-CN"/>
        </w:rPr>
        <w:t>。</w:t>
      </w:r>
    </w:p>
    <w:p w14:paraId="23C73353">
      <w:pPr>
        <w:pStyle w:val="283"/>
        <w:jc w:val="center"/>
        <w:outlineLvl w:val="2"/>
        <w:rPr>
          <w:highlight w:val="none"/>
        </w:rPr>
      </w:pPr>
      <w:r>
        <w:rPr>
          <w:highlight w:val="none"/>
        </w:rPr>
        <w:br w:type="page" w:clear="all"/>
      </w:r>
      <w:bookmarkStart w:id="333" w:name="_Toc29285"/>
      <w:r>
        <w:rPr>
          <w:rFonts w:ascii="宋体" w:hAnsi="宋体" w:eastAsia="宋体" w:cs="宋体"/>
          <w:sz w:val="28"/>
          <w:highlight w:val="none"/>
        </w:rPr>
        <w:t>(十一)资格承诺函</w:t>
      </w:r>
      <w:bookmarkEnd w:id="333"/>
    </w:p>
    <w:p w14:paraId="1C9C4F92">
      <w:pPr>
        <w:pStyle w:val="284"/>
        <w:jc w:val="center"/>
        <w:outlineLvl w:val="2"/>
        <w:rPr>
          <w:highlight w:val="none"/>
        </w:rPr>
      </w:pPr>
      <w:bookmarkStart w:id="334" w:name="_Toc17955"/>
      <w:bookmarkStart w:id="335" w:name="_Toc256000080"/>
      <w:bookmarkStart w:id="336" w:name="_Toc152745369"/>
      <w:r>
        <w:rPr>
          <w:rFonts w:ascii="宋体" w:hAnsi="宋体" w:eastAsia="宋体" w:cs="宋体"/>
          <w:sz w:val="28"/>
          <w:highlight w:val="none"/>
        </w:rPr>
        <w:t>资格承诺函（可选）</w:t>
      </w:r>
      <w:bookmarkEnd w:id="334"/>
      <w:bookmarkEnd w:id="335"/>
      <w:bookmarkEnd w:id="336"/>
    </w:p>
    <w:p w14:paraId="363A0331">
      <w:pPr>
        <w:pStyle w:val="285"/>
        <w:keepNext/>
        <w:keepLines/>
        <w:spacing w:before="280" w:after="290" w:line="376" w:lineRule="auto"/>
        <w:ind w:left="338" w:right="473"/>
        <w:jc w:val="left"/>
        <w:outlineLvl w:val="3"/>
        <w:rPr>
          <w:rFonts w:ascii="宋体" w:hAnsi="宋体"/>
          <w:sz w:val="24"/>
          <w:szCs w:val="24"/>
          <w:highlight w:val="none"/>
        </w:rPr>
      </w:pPr>
      <w:r>
        <w:rPr>
          <w:rFonts w:ascii="宋体" w:hAnsi="宋体"/>
          <w:sz w:val="24"/>
          <w:szCs w:val="24"/>
          <w:highlight w:val="none"/>
        </w:rPr>
        <w:t>致：</w:t>
      </w:r>
      <w:r>
        <w:rPr>
          <w:rFonts w:hint="eastAsia" w:ascii="宋体" w:hAnsi="宋体"/>
          <w:sz w:val="24"/>
          <w:szCs w:val="24"/>
          <w:highlight w:val="none"/>
          <w:u w:val="single"/>
        </w:rPr>
        <w:t xml:space="preserve">              </w:t>
      </w:r>
      <w:r>
        <w:rPr>
          <w:rFonts w:ascii="宋体" w:hAnsi="宋体"/>
          <w:sz w:val="24"/>
          <w:szCs w:val="24"/>
          <w:highlight w:val="none"/>
        </w:rPr>
        <w:t>（采购人、采购代理机构）</w:t>
      </w:r>
    </w:p>
    <w:p w14:paraId="6ADFA448">
      <w:pPr>
        <w:pStyle w:val="285"/>
        <w:keepNext/>
        <w:keepLines/>
        <w:spacing w:before="280" w:after="290" w:line="376" w:lineRule="auto"/>
        <w:ind w:left="338" w:right="473" w:firstLine="600"/>
        <w:jc w:val="left"/>
        <w:outlineLvl w:val="3"/>
        <w:rPr>
          <w:rFonts w:ascii="宋体" w:hAnsi="宋体"/>
          <w:sz w:val="24"/>
          <w:szCs w:val="24"/>
          <w:highlight w:val="none"/>
        </w:rPr>
      </w:pPr>
      <w:r>
        <w:rPr>
          <w:rFonts w:ascii="宋体" w:hAnsi="宋体"/>
          <w:sz w:val="24"/>
          <w:szCs w:val="24"/>
          <w:highlight w:val="none"/>
        </w:rPr>
        <w:t>我单位参与</w:t>
      </w:r>
      <w:r>
        <w:rPr>
          <w:rFonts w:hint="eastAsia" w:ascii="宋体" w:hAnsi="宋体"/>
          <w:sz w:val="24"/>
          <w:szCs w:val="24"/>
          <w:highlight w:val="none"/>
          <w:u w:val="single"/>
        </w:rPr>
        <w:t xml:space="preserve">            </w:t>
      </w:r>
      <w:r>
        <w:rPr>
          <w:rFonts w:ascii="宋体" w:hAnsi="宋体"/>
          <w:sz w:val="24"/>
          <w:szCs w:val="24"/>
          <w:highlight w:val="none"/>
          <w:u w:val="single"/>
        </w:rPr>
        <w:t>（项目名称）（项目编号：</w:t>
      </w:r>
      <w:r>
        <w:rPr>
          <w:rFonts w:hint="eastAsia" w:ascii="宋体" w:hAnsi="宋体"/>
          <w:sz w:val="24"/>
          <w:szCs w:val="24"/>
          <w:highlight w:val="none"/>
          <w:u w:val="single"/>
        </w:rPr>
        <w:t xml:space="preserve">         </w:t>
      </w:r>
      <w:r>
        <w:rPr>
          <w:rFonts w:ascii="宋体" w:hAnsi="宋体"/>
          <w:sz w:val="24"/>
          <w:szCs w:val="24"/>
          <w:highlight w:val="none"/>
        </w:rPr>
        <w:t>）项目的政府采购活动，现承诺如下：</w:t>
      </w:r>
      <w:r>
        <w:rPr>
          <w:rFonts w:ascii="宋体" w:hAnsi="宋体"/>
          <w:sz w:val="24"/>
          <w:szCs w:val="24"/>
          <w:highlight w:val="none"/>
        </w:rPr>
        <w:br w:type="textWrapping" w:clear="all"/>
      </w:r>
      <w:r>
        <w:rPr>
          <w:rFonts w:hint="eastAsia" w:ascii="宋体" w:hAnsi="宋体"/>
          <w:sz w:val="24"/>
          <w:szCs w:val="24"/>
          <w:highlight w:val="none"/>
        </w:rPr>
        <w:t xml:space="preserve">     </w:t>
      </w:r>
      <w:r>
        <w:rPr>
          <w:rFonts w:ascii="宋体" w:hAnsi="宋体"/>
          <w:sz w:val="24"/>
          <w:szCs w:val="24"/>
          <w:highlight w:val="none"/>
        </w:rPr>
        <w:t>1.我方具有良好的商业信誉和健全的财务会计制度。</w:t>
      </w:r>
      <w:r>
        <w:rPr>
          <w:rFonts w:ascii="宋体" w:hAnsi="宋体"/>
          <w:sz w:val="24"/>
          <w:szCs w:val="24"/>
          <w:highlight w:val="none"/>
        </w:rPr>
        <w:br w:type="textWrapping" w:clear="all"/>
      </w:r>
      <w:r>
        <w:rPr>
          <w:rFonts w:hint="eastAsia" w:ascii="宋体" w:hAnsi="宋体"/>
          <w:sz w:val="24"/>
          <w:szCs w:val="24"/>
          <w:highlight w:val="none"/>
        </w:rPr>
        <w:t xml:space="preserve">     </w:t>
      </w:r>
      <w:r>
        <w:rPr>
          <w:rFonts w:ascii="宋体" w:hAnsi="宋体"/>
          <w:sz w:val="24"/>
          <w:szCs w:val="24"/>
          <w:highlight w:val="none"/>
        </w:rPr>
        <w:t>2.我方具有履行合同所必需的设备和专业技术能力。</w:t>
      </w:r>
      <w:r>
        <w:rPr>
          <w:rFonts w:ascii="宋体" w:hAnsi="宋体"/>
          <w:sz w:val="24"/>
          <w:szCs w:val="24"/>
          <w:highlight w:val="none"/>
        </w:rPr>
        <w:br w:type="textWrapping" w:clear="all"/>
      </w:r>
      <w:r>
        <w:rPr>
          <w:rFonts w:hint="eastAsia" w:ascii="宋体" w:hAnsi="宋体"/>
          <w:sz w:val="24"/>
          <w:szCs w:val="24"/>
          <w:highlight w:val="none"/>
        </w:rPr>
        <w:t xml:space="preserve">     </w:t>
      </w:r>
      <w:r>
        <w:rPr>
          <w:rFonts w:ascii="宋体" w:hAnsi="宋体"/>
          <w:sz w:val="24"/>
          <w:szCs w:val="24"/>
          <w:highlight w:val="none"/>
        </w:rPr>
        <w:t>3.我方具有依法缴纳税收和社会保障资金的良好记录。</w:t>
      </w:r>
      <w:r>
        <w:rPr>
          <w:rFonts w:ascii="宋体" w:hAnsi="宋体"/>
          <w:sz w:val="24"/>
          <w:szCs w:val="24"/>
          <w:highlight w:val="none"/>
        </w:rPr>
        <w:br w:type="textWrapping" w:clear="all"/>
      </w:r>
      <w:r>
        <w:rPr>
          <w:rFonts w:hint="eastAsia" w:ascii="宋体" w:hAnsi="宋体"/>
          <w:sz w:val="24"/>
          <w:szCs w:val="24"/>
          <w:highlight w:val="none"/>
        </w:rPr>
        <w:t xml:space="preserve">     </w:t>
      </w:r>
      <w:r>
        <w:rPr>
          <w:rFonts w:ascii="宋体" w:hAnsi="宋体"/>
          <w:sz w:val="24"/>
          <w:szCs w:val="24"/>
          <w:highlight w:val="none"/>
        </w:rPr>
        <w:t>4.我方参加本项目采购活动前三年内，在经营活动中没有重大违法记录。</w:t>
      </w:r>
      <w:r>
        <w:rPr>
          <w:rFonts w:ascii="宋体" w:hAnsi="宋体"/>
          <w:sz w:val="24"/>
          <w:szCs w:val="24"/>
          <w:highlight w:val="none"/>
        </w:rPr>
        <w:br w:type="textWrapping" w:clear="all"/>
      </w:r>
      <w:r>
        <w:rPr>
          <w:rFonts w:hint="eastAsia" w:ascii="宋体" w:hAnsi="宋体"/>
          <w:sz w:val="24"/>
          <w:szCs w:val="24"/>
          <w:highlight w:val="none"/>
        </w:rPr>
        <w:t xml:space="preserve">     </w:t>
      </w:r>
      <w:r>
        <w:rPr>
          <w:rFonts w:ascii="宋体" w:hAnsi="宋体"/>
          <w:sz w:val="24"/>
          <w:szCs w:val="24"/>
          <w:highlight w:val="none"/>
        </w:rPr>
        <w:t>若我单位承诺不实，自愿承担提供虚假材料谋取中标、成交的法律责任。</w:t>
      </w:r>
      <w:r>
        <w:rPr>
          <w:rFonts w:ascii="宋体" w:hAnsi="宋体"/>
          <w:sz w:val="24"/>
          <w:szCs w:val="24"/>
          <w:highlight w:val="none"/>
        </w:rPr>
        <w:br w:type="textWrapping" w:clear="all"/>
      </w:r>
    </w:p>
    <w:p w14:paraId="373FF440">
      <w:pPr>
        <w:pStyle w:val="285"/>
        <w:spacing w:before="280" w:after="290" w:line="240" w:lineRule="atLeast"/>
        <w:ind w:left="338" w:right="473"/>
        <w:jc w:val="right"/>
        <w:outlineLvl w:val="3"/>
        <w:rPr>
          <w:rFonts w:ascii="宋体" w:hAnsi="宋体"/>
          <w:sz w:val="24"/>
          <w:szCs w:val="24"/>
          <w:highlight w:val="none"/>
        </w:rPr>
      </w:pPr>
      <w:r>
        <w:rPr>
          <w:rFonts w:ascii="宋体" w:hAnsi="宋体"/>
          <w:sz w:val="24"/>
          <w:szCs w:val="24"/>
          <w:highlight w:val="none"/>
        </w:rPr>
        <w:t>投标供应商（全称并盖章）：</w:t>
      </w:r>
    </w:p>
    <w:p w14:paraId="11A693A0">
      <w:pPr>
        <w:pStyle w:val="285"/>
        <w:spacing w:before="280" w:after="290" w:line="240" w:lineRule="atLeast"/>
        <w:ind w:left="338" w:right="473"/>
        <w:jc w:val="right"/>
        <w:outlineLvl w:val="3"/>
        <w:rPr>
          <w:rFonts w:ascii="宋体" w:hAnsi="宋体"/>
          <w:sz w:val="24"/>
          <w:szCs w:val="24"/>
          <w:highlight w:val="none"/>
          <w:u w:val="single"/>
        </w:rPr>
      </w:pPr>
      <w:r>
        <w:rPr>
          <w:rFonts w:ascii="宋体" w:hAnsi="宋体"/>
          <w:sz w:val="24"/>
          <w:szCs w:val="24"/>
          <w:highlight w:val="none"/>
        </w:rPr>
        <w:t>供应商法定代表人或授权代表（签字或签章）：</w:t>
      </w:r>
    </w:p>
    <w:p w14:paraId="4023C8E2">
      <w:pPr>
        <w:pStyle w:val="285"/>
        <w:spacing w:before="280" w:after="290" w:line="240" w:lineRule="atLeast"/>
        <w:ind w:right="473"/>
        <w:jc w:val="right"/>
        <w:outlineLvl w:val="3"/>
        <w:rPr>
          <w:rFonts w:ascii="宋体" w:hAnsi="宋体"/>
          <w:sz w:val="24"/>
          <w:szCs w:val="24"/>
          <w:highlight w:val="none"/>
        </w:rPr>
      </w:pPr>
      <w:r>
        <w:rPr>
          <w:rFonts w:ascii="宋体" w:hAnsi="宋体"/>
          <w:sz w:val="24"/>
          <w:szCs w:val="24"/>
          <w:highlight w:val="none"/>
        </w:rPr>
        <w:t>日期：</w:t>
      </w:r>
      <w:r>
        <w:rPr>
          <w:rFonts w:hint="eastAsia" w:ascii="宋体" w:hAnsi="宋体"/>
          <w:sz w:val="24"/>
          <w:szCs w:val="24"/>
          <w:highlight w:val="none"/>
        </w:rPr>
        <w:t xml:space="preserve"> </w:t>
      </w:r>
    </w:p>
    <w:p w14:paraId="567FA53D">
      <w:pPr>
        <w:pStyle w:val="285"/>
        <w:tabs>
          <w:tab w:val="left" w:pos="567"/>
          <w:tab w:val="left" w:pos="709"/>
          <w:tab w:val="left" w:pos="993"/>
        </w:tabs>
        <w:spacing w:after="93" w:line="560" w:lineRule="exact"/>
        <w:ind w:left="338" w:right="473"/>
        <w:jc w:val="left"/>
        <w:outlineLvl w:val="1"/>
        <w:rPr>
          <w:rFonts w:ascii="宋体" w:hAnsi="宋体"/>
          <w:bCs/>
          <w:sz w:val="24"/>
          <w:szCs w:val="24"/>
          <w:highlight w:val="none"/>
        </w:rPr>
      </w:pPr>
      <w:bookmarkStart w:id="337" w:name="_Toc25463"/>
      <w:r>
        <w:rPr>
          <w:rFonts w:ascii="宋体" w:hAnsi="宋体"/>
          <w:b/>
          <w:bCs/>
          <w:szCs w:val="32"/>
          <w:highlight w:val="none"/>
        </w:rPr>
        <w:br w:type="textWrapping" w:clear="all"/>
      </w:r>
      <w:bookmarkStart w:id="338" w:name="_Toc256000081"/>
      <w:bookmarkStart w:id="339" w:name="_Toc152745370"/>
      <w:r>
        <w:rPr>
          <w:rFonts w:ascii="宋体" w:hAnsi="宋体"/>
          <w:bCs/>
          <w:sz w:val="24"/>
          <w:szCs w:val="24"/>
          <w:highlight w:val="none"/>
        </w:rPr>
        <w:t>说明：1.供应商可自行选择是否提供本承诺函，若不提供本承诺函的，应按采购文件要求提供相应的证明材料。</w:t>
      </w:r>
      <w:r>
        <w:rPr>
          <w:rFonts w:ascii="宋体" w:hAnsi="宋体"/>
          <w:bCs/>
          <w:sz w:val="24"/>
          <w:szCs w:val="24"/>
          <w:highlight w:val="none"/>
        </w:rPr>
        <w:br w:type="textWrapping" w:clear="all"/>
      </w:r>
      <w:r>
        <w:rPr>
          <w:rFonts w:ascii="宋体" w:hAnsi="宋体"/>
          <w:bCs/>
          <w:sz w:val="24"/>
          <w:szCs w:val="24"/>
          <w:highlight w:val="none"/>
        </w:rPr>
        <w:t>2.供应商可删减承诺事项,删减的承诺事项须按采购文件要求提供相应的证明材料。比如删去本承诺函第 3 项的，则应按采购文件要求提供依法缴纳税收和社会保障资金的良好记录。</w:t>
      </w:r>
      <w:bookmarkEnd w:id="337"/>
      <w:bookmarkEnd w:id="338"/>
      <w:bookmarkEnd w:id="339"/>
    </w:p>
    <w:p w14:paraId="77CB7BC1">
      <w:pPr>
        <w:pStyle w:val="305"/>
        <w:outlineLvl w:val="2"/>
        <w:rPr>
          <w:rFonts w:ascii="宋体" w:hAnsi="宋体" w:cs="宋体"/>
          <w:b/>
          <w:bCs/>
          <w:sz w:val="32"/>
          <w:szCs w:val="32"/>
          <w:highlight w:val="none"/>
          <w:lang w:val="en-US"/>
        </w:rPr>
      </w:pPr>
    </w:p>
    <w:p w14:paraId="3C62CED9">
      <w:pPr>
        <w:pStyle w:val="286"/>
        <w:jc w:val="center"/>
        <w:outlineLvl w:val="1"/>
        <w:rPr>
          <w:rFonts w:ascii="宋体" w:hAnsi="宋体" w:eastAsia="宋体" w:cs="宋体"/>
          <w:sz w:val="32"/>
          <w:highlight w:val="none"/>
        </w:rPr>
      </w:pPr>
      <w:r>
        <w:rPr>
          <w:highlight w:val="none"/>
        </w:rPr>
        <w:br w:type="page" w:clear="all"/>
      </w:r>
      <w:bookmarkStart w:id="340" w:name="_Toc12479"/>
      <w:r>
        <w:rPr>
          <w:rFonts w:ascii="宋体" w:hAnsi="宋体" w:eastAsia="宋体" w:cs="宋体"/>
          <w:sz w:val="32"/>
          <w:highlight w:val="none"/>
        </w:rPr>
        <w:t>二、技术部分</w:t>
      </w:r>
      <w:bookmarkEnd w:id="340"/>
    </w:p>
    <w:p w14:paraId="7000063C">
      <w:pPr>
        <w:pStyle w:val="286"/>
        <w:jc w:val="center"/>
        <w:outlineLvl w:val="1"/>
        <w:rPr>
          <w:rFonts w:ascii="宋体" w:hAnsi="宋体" w:eastAsia="宋体" w:cs="宋体"/>
          <w:sz w:val="28"/>
          <w:highlight w:val="none"/>
        </w:rPr>
      </w:pPr>
      <w:bookmarkStart w:id="341" w:name="_Toc19533"/>
      <w:r>
        <w:rPr>
          <w:rFonts w:ascii="宋体" w:hAnsi="宋体" w:eastAsia="宋体" w:cs="宋体"/>
          <w:b/>
          <w:bCs/>
          <w:sz w:val="28"/>
          <w:highlight w:val="none"/>
        </w:rPr>
        <w:t>(一)技术方案</w:t>
      </w:r>
      <w:bookmarkEnd w:id="341"/>
    </w:p>
    <w:p w14:paraId="37FCB448">
      <w:pPr>
        <w:pStyle w:val="287"/>
        <w:jc w:val="center"/>
        <w:outlineLvl w:val="2"/>
        <w:rPr>
          <w:highlight w:val="none"/>
        </w:rPr>
      </w:pPr>
      <w:bookmarkStart w:id="342" w:name="_Toc21985"/>
      <w:bookmarkStart w:id="343" w:name="_Toc152745373"/>
      <w:r>
        <w:rPr>
          <w:rFonts w:hint="eastAsia" w:ascii="宋体" w:hAnsi="宋体" w:eastAsia="宋体" w:cs="宋体"/>
          <w:sz w:val="28"/>
          <w:highlight w:val="none"/>
        </w:rPr>
        <w:t>供应商根据评分标准制定</w:t>
      </w:r>
      <w:bookmarkEnd w:id="342"/>
      <w:bookmarkEnd w:id="343"/>
    </w:p>
    <w:p w14:paraId="3EAB9F7B">
      <w:pPr>
        <w:pStyle w:val="288"/>
        <w:jc w:val="center"/>
        <w:outlineLvl w:val="2"/>
        <w:rPr>
          <w:highlight w:val="none"/>
        </w:rPr>
      </w:pPr>
      <w:r>
        <w:rPr>
          <w:highlight w:val="none"/>
        </w:rPr>
        <w:br w:type="page" w:clear="all"/>
      </w:r>
      <w:bookmarkStart w:id="344" w:name="_Toc12578"/>
      <w:r>
        <w:rPr>
          <w:rFonts w:ascii="宋体" w:hAnsi="宋体" w:eastAsia="宋体" w:cs="宋体"/>
          <w:b/>
          <w:bCs/>
          <w:sz w:val="28"/>
          <w:highlight w:val="none"/>
        </w:rPr>
        <w:t>(二)</w:t>
      </w:r>
      <w:r>
        <w:rPr>
          <w:rFonts w:hint="eastAsia" w:ascii="宋体" w:hAnsi="宋体" w:eastAsia="宋体" w:cs="宋体"/>
          <w:b/>
          <w:bCs/>
          <w:sz w:val="28"/>
          <w:highlight w:val="none"/>
        </w:rPr>
        <w:t>技术及</w:t>
      </w:r>
      <w:r>
        <w:rPr>
          <w:rFonts w:ascii="宋体" w:hAnsi="宋体" w:eastAsia="宋体" w:cs="宋体"/>
          <w:b/>
          <w:bCs/>
          <w:sz w:val="28"/>
          <w:highlight w:val="none"/>
        </w:rPr>
        <w:t>服务内容响应及偏离对照表</w:t>
      </w:r>
      <w:bookmarkEnd w:id="344"/>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1352"/>
        <w:gridCol w:w="2566"/>
        <w:gridCol w:w="2254"/>
        <w:gridCol w:w="1780"/>
        <w:gridCol w:w="823"/>
      </w:tblGrid>
      <w:tr w14:paraId="0FBA9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7" w:type="dxa"/>
            <w:noWrap w:val="0"/>
            <w:vAlign w:val="center"/>
          </w:tcPr>
          <w:p w14:paraId="5A7DEA59">
            <w:pPr>
              <w:pStyle w:val="289"/>
              <w:tabs>
                <w:tab w:val="left" w:pos="567"/>
                <w:tab w:val="left" w:pos="709"/>
                <w:tab w:val="left" w:pos="993"/>
              </w:tabs>
              <w:spacing w:line="560" w:lineRule="exact"/>
              <w:rPr>
                <w:color w:val="000000"/>
                <w:szCs w:val="21"/>
                <w:highlight w:val="none"/>
              </w:rPr>
            </w:pPr>
            <w:r>
              <w:rPr>
                <w:rFonts w:hint="eastAsia"/>
                <w:color w:val="000000"/>
                <w:szCs w:val="21"/>
                <w:highlight w:val="none"/>
              </w:rPr>
              <w:t>序号</w:t>
            </w:r>
          </w:p>
        </w:tc>
        <w:tc>
          <w:tcPr>
            <w:tcW w:w="714" w:type="dxa"/>
            <w:noWrap w:val="0"/>
            <w:vAlign w:val="center"/>
          </w:tcPr>
          <w:p w14:paraId="5E5042EC">
            <w:pPr>
              <w:pStyle w:val="289"/>
              <w:tabs>
                <w:tab w:val="left" w:pos="567"/>
                <w:tab w:val="left" w:pos="709"/>
                <w:tab w:val="left" w:pos="993"/>
              </w:tabs>
              <w:spacing w:line="560" w:lineRule="exact"/>
              <w:rPr>
                <w:color w:val="000000"/>
                <w:szCs w:val="21"/>
                <w:highlight w:val="none"/>
              </w:rPr>
            </w:pPr>
            <w:r>
              <w:rPr>
                <w:rFonts w:hint="eastAsia"/>
                <w:color w:val="000000"/>
                <w:szCs w:val="21"/>
                <w:highlight w:val="none"/>
              </w:rPr>
              <w:t>服务名称</w:t>
            </w:r>
          </w:p>
        </w:tc>
        <w:tc>
          <w:tcPr>
            <w:tcW w:w="1355" w:type="dxa"/>
            <w:noWrap w:val="0"/>
            <w:vAlign w:val="center"/>
          </w:tcPr>
          <w:p w14:paraId="7D22BF24">
            <w:pPr>
              <w:pStyle w:val="289"/>
              <w:tabs>
                <w:tab w:val="left" w:pos="567"/>
                <w:tab w:val="left" w:pos="709"/>
                <w:tab w:val="left" w:pos="993"/>
              </w:tabs>
              <w:spacing w:line="560" w:lineRule="exact"/>
              <w:rPr>
                <w:color w:val="000000"/>
                <w:szCs w:val="21"/>
                <w:highlight w:val="none"/>
              </w:rPr>
            </w:pPr>
            <w:r>
              <w:rPr>
                <w:rFonts w:hint="eastAsia"/>
                <w:color w:val="000000"/>
                <w:szCs w:val="21"/>
                <w:highlight w:val="none"/>
              </w:rPr>
              <w:t>磋商文件要求的服务</w:t>
            </w:r>
          </w:p>
        </w:tc>
        <w:tc>
          <w:tcPr>
            <w:tcW w:w="1190" w:type="dxa"/>
            <w:noWrap w:val="0"/>
            <w:vAlign w:val="center"/>
          </w:tcPr>
          <w:p w14:paraId="328D640D">
            <w:pPr>
              <w:pStyle w:val="289"/>
              <w:tabs>
                <w:tab w:val="left" w:pos="567"/>
                <w:tab w:val="left" w:pos="709"/>
                <w:tab w:val="left" w:pos="993"/>
              </w:tabs>
              <w:spacing w:line="560" w:lineRule="exact"/>
              <w:rPr>
                <w:color w:val="000000"/>
                <w:szCs w:val="21"/>
                <w:highlight w:val="none"/>
              </w:rPr>
            </w:pPr>
            <w:r>
              <w:rPr>
                <w:rFonts w:hint="eastAsia"/>
                <w:color w:val="000000"/>
                <w:szCs w:val="21"/>
                <w:highlight w:val="none"/>
              </w:rPr>
              <w:t>响应文件实际响应</w:t>
            </w:r>
          </w:p>
        </w:tc>
        <w:tc>
          <w:tcPr>
            <w:tcW w:w="940" w:type="dxa"/>
            <w:noWrap w:val="0"/>
            <w:vAlign w:val="center"/>
          </w:tcPr>
          <w:p w14:paraId="1D70743B">
            <w:pPr>
              <w:pStyle w:val="289"/>
              <w:tabs>
                <w:tab w:val="left" w:pos="567"/>
                <w:tab w:val="left" w:pos="709"/>
                <w:tab w:val="left" w:pos="993"/>
              </w:tabs>
              <w:spacing w:line="560" w:lineRule="exact"/>
              <w:rPr>
                <w:color w:val="000000"/>
                <w:szCs w:val="21"/>
                <w:highlight w:val="none"/>
              </w:rPr>
            </w:pPr>
            <w:r>
              <w:rPr>
                <w:rFonts w:hint="eastAsia"/>
                <w:color w:val="000000"/>
                <w:szCs w:val="21"/>
                <w:highlight w:val="none"/>
              </w:rPr>
              <w:t>符合/正偏离/负偏离</w:t>
            </w:r>
          </w:p>
        </w:tc>
        <w:tc>
          <w:tcPr>
            <w:tcW w:w="434" w:type="dxa"/>
            <w:noWrap w:val="0"/>
            <w:vAlign w:val="center"/>
          </w:tcPr>
          <w:p w14:paraId="59D68EBB">
            <w:pPr>
              <w:pStyle w:val="289"/>
              <w:tabs>
                <w:tab w:val="left" w:pos="567"/>
                <w:tab w:val="left" w:pos="709"/>
                <w:tab w:val="left" w:pos="993"/>
              </w:tabs>
              <w:spacing w:line="560" w:lineRule="exact"/>
              <w:rPr>
                <w:color w:val="000000"/>
                <w:szCs w:val="21"/>
                <w:highlight w:val="none"/>
              </w:rPr>
            </w:pPr>
            <w:r>
              <w:rPr>
                <w:rFonts w:hint="eastAsia"/>
                <w:color w:val="000000"/>
                <w:szCs w:val="21"/>
                <w:highlight w:val="none"/>
              </w:rPr>
              <w:t>备注</w:t>
            </w:r>
          </w:p>
        </w:tc>
      </w:tr>
      <w:tr w14:paraId="25014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7" w:type="dxa"/>
            <w:noWrap w:val="0"/>
            <w:vAlign w:val="top"/>
          </w:tcPr>
          <w:p w14:paraId="7FAB3592">
            <w:pPr>
              <w:pStyle w:val="289"/>
              <w:tabs>
                <w:tab w:val="left" w:pos="567"/>
                <w:tab w:val="left" w:pos="709"/>
                <w:tab w:val="left" w:pos="993"/>
              </w:tabs>
              <w:spacing w:line="560" w:lineRule="exact"/>
              <w:rPr>
                <w:color w:val="000000"/>
                <w:szCs w:val="21"/>
                <w:highlight w:val="none"/>
              </w:rPr>
            </w:pPr>
          </w:p>
        </w:tc>
        <w:tc>
          <w:tcPr>
            <w:tcW w:w="714" w:type="dxa"/>
            <w:noWrap w:val="0"/>
            <w:vAlign w:val="top"/>
          </w:tcPr>
          <w:p w14:paraId="250E7EA2">
            <w:pPr>
              <w:pStyle w:val="289"/>
              <w:tabs>
                <w:tab w:val="left" w:pos="567"/>
                <w:tab w:val="left" w:pos="709"/>
                <w:tab w:val="left" w:pos="993"/>
              </w:tabs>
              <w:spacing w:line="560" w:lineRule="exact"/>
              <w:rPr>
                <w:color w:val="000000"/>
                <w:szCs w:val="21"/>
                <w:highlight w:val="none"/>
              </w:rPr>
            </w:pPr>
          </w:p>
        </w:tc>
        <w:tc>
          <w:tcPr>
            <w:tcW w:w="1355" w:type="dxa"/>
            <w:noWrap w:val="0"/>
            <w:vAlign w:val="top"/>
          </w:tcPr>
          <w:p w14:paraId="2F11AA4F">
            <w:pPr>
              <w:pStyle w:val="289"/>
              <w:tabs>
                <w:tab w:val="left" w:pos="567"/>
                <w:tab w:val="left" w:pos="709"/>
                <w:tab w:val="left" w:pos="993"/>
              </w:tabs>
              <w:spacing w:line="560" w:lineRule="exact"/>
              <w:rPr>
                <w:color w:val="000000"/>
                <w:szCs w:val="21"/>
                <w:highlight w:val="none"/>
              </w:rPr>
            </w:pPr>
          </w:p>
        </w:tc>
        <w:tc>
          <w:tcPr>
            <w:tcW w:w="1190" w:type="dxa"/>
            <w:noWrap w:val="0"/>
            <w:vAlign w:val="top"/>
          </w:tcPr>
          <w:p w14:paraId="0DC7924B">
            <w:pPr>
              <w:pStyle w:val="289"/>
              <w:tabs>
                <w:tab w:val="left" w:pos="567"/>
                <w:tab w:val="left" w:pos="709"/>
                <w:tab w:val="left" w:pos="993"/>
              </w:tabs>
              <w:spacing w:line="560" w:lineRule="exact"/>
              <w:rPr>
                <w:color w:val="000000"/>
                <w:szCs w:val="21"/>
                <w:highlight w:val="none"/>
              </w:rPr>
            </w:pPr>
          </w:p>
        </w:tc>
        <w:tc>
          <w:tcPr>
            <w:tcW w:w="940" w:type="dxa"/>
            <w:noWrap w:val="0"/>
            <w:vAlign w:val="top"/>
          </w:tcPr>
          <w:p w14:paraId="54AD3C80">
            <w:pPr>
              <w:pStyle w:val="289"/>
              <w:tabs>
                <w:tab w:val="left" w:pos="567"/>
                <w:tab w:val="left" w:pos="709"/>
                <w:tab w:val="left" w:pos="993"/>
              </w:tabs>
              <w:spacing w:line="560" w:lineRule="exact"/>
              <w:rPr>
                <w:color w:val="000000"/>
                <w:szCs w:val="21"/>
                <w:highlight w:val="none"/>
              </w:rPr>
            </w:pPr>
          </w:p>
        </w:tc>
        <w:tc>
          <w:tcPr>
            <w:tcW w:w="434" w:type="dxa"/>
            <w:noWrap w:val="0"/>
            <w:vAlign w:val="top"/>
          </w:tcPr>
          <w:p w14:paraId="39B7D823">
            <w:pPr>
              <w:pStyle w:val="289"/>
              <w:tabs>
                <w:tab w:val="left" w:pos="567"/>
                <w:tab w:val="left" w:pos="709"/>
                <w:tab w:val="left" w:pos="993"/>
              </w:tabs>
              <w:spacing w:line="560" w:lineRule="exact"/>
              <w:rPr>
                <w:color w:val="000000"/>
                <w:szCs w:val="21"/>
                <w:highlight w:val="none"/>
              </w:rPr>
            </w:pPr>
          </w:p>
        </w:tc>
      </w:tr>
      <w:tr w14:paraId="7AA95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7" w:type="dxa"/>
            <w:noWrap w:val="0"/>
            <w:vAlign w:val="top"/>
          </w:tcPr>
          <w:p w14:paraId="0B19EC1C">
            <w:pPr>
              <w:pStyle w:val="289"/>
              <w:tabs>
                <w:tab w:val="left" w:pos="567"/>
                <w:tab w:val="left" w:pos="709"/>
                <w:tab w:val="left" w:pos="993"/>
              </w:tabs>
              <w:spacing w:line="560" w:lineRule="exact"/>
              <w:rPr>
                <w:color w:val="000000"/>
                <w:szCs w:val="21"/>
                <w:highlight w:val="none"/>
              </w:rPr>
            </w:pPr>
          </w:p>
        </w:tc>
        <w:tc>
          <w:tcPr>
            <w:tcW w:w="714" w:type="dxa"/>
            <w:noWrap w:val="0"/>
            <w:vAlign w:val="top"/>
          </w:tcPr>
          <w:p w14:paraId="64C30982">
            <w:pPr>
              <w:pStyle w:val="289"/>
              <w:tabs>
                <w:tab w:val="left" w:pos="567"/>
                <w:tab w:val="left" w:pos="709"/>
                <w:tab w:val="left" w:pos="993"/>
              </w:tabs>
              <w:spacing w:line="560" w:lineRule="exact"/>
              <w:rPr>
                <w:color w:val="000000"/>
                <w:szCs w:val="21"/>
                <w:highlight w:val="none"/>
              </w:rPr>
            </w:pPr>
          </w:p>
        </w:tc>
        <w:tc>
          <w:tcPr>
            <w:tcW w:w="1355" w:type="dxa"/>
            <w:noWrap w:val="0"/>
            <w:vAlign w:val="top"/>
          </w:tcPr>
          <w:p w14:paraId="51B15A29">
            <w:pPr>
              <w:pStyle w:val="289"/>
              <w:tabs>
                <w:tab w:val="left" w:pos="567"/>
                <w:tab w:val="left" w:pos="709"/>
                <w:tab w:val="left" w:pos="993"/>
              </w:tabs>
              <w:spacing w:line="560" w:lineRule="exact"/>
              <w:rPr>
                <w:color w:val="000000"/>
                <w:szCs w:val="21"/>
                <w:highlight w:val="none"/>
              </w:rPr>
            </w:pPr>
          </w:p>
        </w:tc>
        <w:tc>
          <w:tcPr>
            <w:tcW w:w="1190" w:type="dxa"/>
            <w:noWrap w:val="0"/>
            <w:vAlign w:val="top"/>
          </w:tcPr>
          <w:p w14:paraId="61E09044">
            <w:pPr>
              <w:pStyle w:val="289"/>
              <w:tabs>
                <w:tab w:val="left" w:pos="567"/>
                <w:tab w:val="left" w:pos="709"/>
                <w:tab w:val="left" w:pos="993"/>
              </w:tabs>
              <w:spacing w:line="560" w:lineRule="exact"/>
              <w:rPr>
                <w:color w:val="000000"/>
                <w:szCs w:val="21"/>
                <w:highlight w:val="none"/>
              </w:rPr>
            </w:pPr>
          </w:p>
        </w:tc>
        <w:tc>
          <w:tcPr>
            <w:tcW w:w="940" w:type="dxa"/>
            <w:noWrap w:val="0"/>
            <w:vAlign w:val="top"/>
          </w:tcPr>
          <w:p w14:paraId="69CB95D3">
            <w:pPr>
              <w:pStyle w:val="289"/>
              <w:tabs>
                <w:tab w:val="left" w:pos="567"/>
                <w:tab w:val="left" w:pos="709"/>
                <w:tab w:val="left" w:pos="993"/>
              </w:tabs>
              <w:spacing w:line="560" w:lineRule="exact"/>
              <w:rPr>
                <w:color w:val="000000"/>
                <w:szCs w:val="21"/>
                <w:highlight w:val="none"/>
              </w:rPr>
            </w:pPr>
          </w:p>
        </w:tc>
        <w:tc>
          <w:tcPr>
            <w:tcW w:w="434" w:type="dxa"/>
            <w:noWrap w:val="0"/>
            <w:vAlign w:val="top"/>
          </w:tcPr>
          <w:p w14:paraId="61002D20">
            <w:pPr>
              <w:pStyle w:val="289"/>
              <w:tabs>
                <w:tab w:val="left" w:pos="567"/>
                <w:tab w:val="left" w:pos="709"/>
                <w:tab w:val="left" w:pos="993"/>
              </w:tabs>
              <w:spacing w:line="560" w:lineRule="exact"/>
              <w:rPr>
                <w:color w:val="000000"/>
                <w:szCs w:val="21"/>
                <w:highlight w:val="none"/>
              </w:rPr>
            </w:pPr>
          </w:p>
        </w:tc>
      </w:tr>
      <w:tr w14:paraId="5FA58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7" w:type="dxa"/>
            <w:noWrap w:val="0"/>
            <w:vAlign w:val="top"/>
          </w:tcPr>
          <w:p w14:paraId="15CD8A7D">
            <w:pPr>
              <w:pStyle w:val="289"/>
              <w:tabs>
                <w:tab w:val="left" w:pos="567"/>
                <w:tab w:val="left" w:pos="709"/>
                <w:tab w:val="left" w:pos="993"/>
              </w:tabs>
              <w:spacing w:line="560" w:lineRule="exact"/>
              <w:rPr>
                <w:color w:val="000000"/>
                <w:szCs w:val="21"/>
                <w:highlight w:val="none"/>
              </w:rPr>
            </w:pPr>
          </w:p>
        </w:tc>
        <w:tc>
          <w:tcPr>
            <w:tcW w:w="714" w:type="dxa"/>
            <w:noWrap w:val="0"/>
            <w:vAlign w:val="top"/>
          </w:tcPr>
          <w:p w14:paraId="6F34485E">
            <w:pPr>
              <w:pStyle w:val="289"/>
              <w:tabs>
                <w:tab w:val="left" w:pos="567"/>
                <w:tab w:val="left" w:pos="709"/>
                <w:tab w:val="left" w:pos="993"/>
              </w:tabs>
              <w:spacing w:line="560" w:lineRule="exact"/>
              <w:rPr>
                <w:color w:val="000000"/>
                <w:szCs w:val="21"/>
                <w:highlight w:val="none"/>
              </w:rPr>
            </w:pPr>
          </w:p>
        </w:tc>
        <w:tc>
          <w:tcPr>
            <w:tcW w:w="1355" w:type="dxa"/>
            <w:noWrap w:val="0"/>
            <w:vAlign w:val="top"/>
          </w:tcPr>
          <w:p w14:paraId="4C01FC94">
            <w:pPr>
              <w:pStyle w:val="289"/>
              <w:tabs>
                <w:tab w:val="left" w:pos="567"/>
                <w:tab w:val="left" w:pos="709"/>
                <w:tab w:val="left" w:pos="993"/>
              </w:tabs>
              <w:spacing w:line="560" w:lineRule="exact"/>
              <w:rPr>
                <w:color w:val="000000"/>
                <w:szCs w:val="21"/>
                <w:highlight w:val="none"/>
              </w:rPr>
            </w:pPr>
          </w:p>
        </w:tc>
        <w:tc>
          <w:tcPr>
            <w:tcW w:w="1190" w:type="dxa"/>
            <w:noWrap w:val="0"/>
            <w:vAlign w:val="top"/>
          </w:tcPr>
          <w:p w14:paraId="4317F55D">
            <w:pPr>
              <w:pStyle w:val="289"/>
              <w:tabs>
                <w:tab w:val="left" w:pos="567"/>
                <w:tab w:val="left" w:pos="709"/>
                <w:tab w:val="left" w:pos="993"/>
              </w:tabs>
              <w:spacing w:line="560" w:lineRule="exact"/>
              <w:rPr>
                <w:color w:val="000000"/>
                <w:szCs w:val="21"/>
                <w:highlight w:val="none"/>
              </w:rPr>
            </w:pPr>
          </w:p>
        </w:tc>
        <w:tc>
          <w:tcPr>
            <w:tcW w:w="940" w:type="dxa"/>
            <w:noWrap w:val="0"/>
            <w:vAlign w:val="top"/>
          </w:tcPr>
          <w:p w14:paraId="295B218B">
            <w:pPr>
              <w:pStyle w:val="289"/>
              <w:tabs>
                <w:tab w:val="left" w:pos="567"/>
                <w:tab w:val="left" w:pos="709"/>
                <w:tab w:val="left" w:pos="993"/>
              </w:tabs>
              <w:spacing w:line="560" w:lineRule="exact"/>
              <w:rPr>
                <w:color w:val="000000"/>
                <w:szCs w:val="21"/>
                <w:highlight w:val="none"/>
              </w:rPr>
            </w:pPr>
          </w:p>
        </w:tc>
        <w:tc>
          <w:tcPr>
            <w:tcW w:w="434" w:type="dxa"/>
            <w:noWrap w:val="0"/>
            <w:vAlign w:val="top"/>
          </w:tcPr>
          <w:p w14:paraId="20DCE51B">
            <w:pPr>
              <w:pStyle w:val="289"/>
              <w:tabs>
                <w:tab w:val="left" w:pos="567"/>
                <w:tab w:val="left" w:pos="709"/>
                <w:tab w:val="left" w:pos="993"/>
              </w:tabs>
              <w:spacing w:line="560" w:lineRule="exact"/>
              <w:rPr>
                <w:color w:val="000000"/>
                <w:szCs w:val="21"/>
                <w:highlight w:val="none"/>
              </w:rPr>
            </w:pPr>
          </w:p>
        </w:tc>
      </w:tr>
      <w:tr w14:paraId="405FA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7" w:type="dxa"/>
            <w:noWrap w:val="0"/>
            <w:vAlign w:val="top"/>
          </w:tcPr>
          <w:p w14:paraId="7CCDF01D">
            <w:pPr>
              <w:pStyle w:val="289"/>
              <w:tabs>
                <w:tab w:val="left" w:pos="567"/>
                <w:tab w:val="left" w:pos="709"/>
                <w:tab w:val="left" w:pos="993"/>
              </w:tabs>
              <w:spacing w:line="560" w:lineRule="exact"/>
              <w:rPr>
                <w:color w:val="000000"/>
                <w:szCs w:val="21"/>
                <w:highlight w:val="none"/>
              </w:rPr>
            </w:pPr>
          </w:p>
        </w:tc>
        <w:tc>
          <w:tcPr>
            <w:tcW w:w="714" w:type="dxa"/>
            <w:noWrap w:val="0"/>
            <w:vAlign w:val="top"/>
          </w:tcPr>
          <w:p w14:paraId="34AA985F">
            <w:pPr>
              <w:pStyle w:val="289"/>
              <w:tabs>
                <w:tab w:val="left" w:pos="567"/>
                <w:tab w:val="left" w:pos="709"/>
                <w:tab w:val="left" w:pos="993"/>
              </w:tabs>
              <w:spacing w:line="560" w:lineRule="exact"/>
              <w:rPr>
                <w:color w:val="000000"/>
                <w:szCs w:val="21"/>
                <w:highlight w:val="none"/>
              </w:rPr>
            </w:pPr>
          </w:p>
        </w:tc>
        <w:tc>
          <w:tcPr>
            <w:tcW w:w="1355" w:type="dxa"/>
            <w:noWrap w:val="0"/>
            <w:vAlign w:val="top"/>
          </w:tcPr>
          <w:p w14:paraId="1F9B484B">
            <w:pPr>
              <w:pStyle w:val="289"/>
              <w:tabs>
                <w:tab w:val="left" w:pos="567"/>
                <w:tab w:val="left" w:pos="709"/>
                <w:tab w:val="left" w:pos="993"/>
              </w:tabs>
              <w:spacing w:line="560" w:lineRule="exact"/>
              <w:rPr>
                <w:color w:val="000000"/>
                <w:szCs w:val="21"/>
                <w:highlight w:val="none"/>
              </w:rPr>
            </w:pPr>
          </w:p>
        </w:tc>
        <w:tc>
          <w:tcPr>
            <w:tcW w:w="1190" w:type="dxa"/>
            <w:noWrap w:val="0"/>
            <w:vAlign w:val="top"/>
          </w:tcPr>
          <w:p w14:paraId="1EFFE7AE">
            <w:pPr>
              <w:pStyle w:val="289"/>
              <w:tabs>
                <w:tab w:val="left" w:pos="567"/>
                <w:tab w:val="left" w:pos="709"/>
                <w:tab w:val="left" w:pos="993"/>
              </w:tabs>
              <w:spacing w:line="560" w:lineRule="exact"/>
              <w:rPr>
                <w:color w:val="000000"/>
                <w:szCs w:val="21"/>
                <w:highlight w:val="none"/>
              </w:rPr>
            </w:pPr>
          </w:p>
        </w:tc>
        <w:tc>
          <w:tcPr>
            <w:tcW w:w="940" w:type="dxa"/>
            <w:noWrap w:val="0"/>
            <w:vAlign w:val="top"/>
          </w:tcPr>
          <w:p w14:paraId="28A5EC04">
            <w:pPr>
              <w:pStyle w:val="289"/>
              <w:tabs>
                <w:tab w:val="left" w:pos="567"/>
                <w:tab w:val="left" w:pos="709"/>
                <w:tab w:val="left" w:pos="993"/>
              </w:tabs>
              <w:spacing w:line="560" w:lineRule="exact"/>
              <w:rPr>
                <w:color w:val="000000"/>
                <w:szCs w:val="21"/>
                <w:highlight w:val="none"/>
              </w:rPr>
            </w:pPr>
          </w:p>
        </w:tc>
        <w:tc>
          <w:tcPr>
            <w:tcW w:w="434" w:type="dxa"/>
            <w:noWrap w:val="0"/>
            <w:vAlign w:val="top"/>
          </w:tcPr>
          <w:p w14:paraId="7DC34236">
            <w:pPr>
              <w:pStyle w:val="289"/>
              <w:tabs>
                <w:tab w:val="left" w:pos="567"/>
                <w:tab w:val="left" w:pos="709"/>
                <w:tab w:val="left" w:pos="993"/>
              </w:tabs>
              <w:spacing w:line="560" w:lineRule="exact"/>
              <w:rPr>
                <w:color w:val="000000"/>
                <w:szCs w:val="21"/>
                <w:highlight w:val="none"/>
              </w:rPr>
            </w:pPr>
          </w:p>
        </w:tc>
      </w:tr>
      <w:tr w14:paraId="6DC42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7" w:type="dxa"/>
            <w:noWrap w:val="0"/>
            <w:vAlign w:val="top"/>
          </w:tcPr>
          <w:p w14:paraId="4071A06F">
            <w:pPr>
              <w:pStyle w:val="289"/>
              <w:tabs>
                <w:tab w:val="left" w:pos="567"/>
                <w:tab w:val="left" w:pos="709"/>
                <w:tab w:val="left" w:pos="993"/>
              </w:tabs>
              <w:spacing w:line="560" w:lineRule="exact"/>
              <w:rPr>
                <w:color w:val="000000"/>
                <w:szCs w:val="21"/>
                <w:highlight w:val="none"/>
              </w:rPr>
            </w:pPr>
          </w:p>
        </w:tc>
        <w:tc>
          <w:tcPr>
            <w:tcW w:w="714" w:type="dxa"/>
            <w:noWrap w:val="0"/>
            <w:vAlign w:val="top"/>
          </w:tcPr>
          <w:p w14:paraId="48136AD2">
            <w:pPr>
              <w:pStyle w:val="289"/>
              <w:tabs>
                <w:tab w:val="left" w:pos="567"/>
                <w:tab w:val="left" w:pos="709"/>
                <w:tab w:val="left" w:pos="993"/>
              </w:tabs>
              <w:spacing w:line="560" w:lineRule="exact"/>
              <w:rPr>
                <w:color w:val="000000"/>
                <w:szCs w:val="21"/>
                <w:highlight w:val="none"/>
              </w:rPr>
            </w:pPr>
          </w:p>
        </w:tc>
        <w:tc>
          <w:tcPr>
            <w:tcW w:w="1355" w:type="dxa"/>
            <w:noWrap w:val="0"/>
            <w:vAlign w:val="top"/>
          </w:tcPr>
          <w:p w14:paraId="51F8AE34">
            <w:pPr>
              <w:pStyle w:val="289"/>
              <w:tabs>
                <w:tab w:val="left" w:pos="567"/>
                <w:tab w:val="left" w:pos="709"/>
                <w:tab w:val="left" w:pos="993"/>
              </w:tabs>
              <w:spacing w:line="560" w:lineRule="exact"/>
              <w:rPr>
                <w:color w:val="000000"/>
                <w:szCs w:val="21"/>
                <w:highlight w:val="none"/>
              </w:rPr>
            </w:pPr>
          </w:p>
        </w:tc>
        <w:tc>
          <w:tcPr>
            <w:tcW w:w="1190" w:type="dxa"/>
            <w:noWrap w:val="0"/>
            <w:vAlign w:val="top"/>
          </w:tcPr>
          <w:p w14:paraId="2429B8D4">
            <w:pPr>
              <w:pStyle w:val="289"/>
              <w:tabs>
                <w:tab w:val="left" w:pos="567"/>
                <w:tab w:val="left" w:pos="709"/>
                <w:tab w:val="left" w:pos="993"/>
              </w:tabs>
              <w:spacing w:line="560" w:lineRule="exact"/>
              <w:rPr>
                <w:color w:val="000000"/>
                <w:szCs w:val="21"/>
                <w:highlight w:val="none"/>
              </w:rPr>
            </w:pPr>
          </w:p>
        </w:tc>
        <w:tc>
          <w:tcPr>
            <w:tcW w:w="940" w:type="dxa"/>
            <w:noWrap w:val="0"/>
            <w:vAlign w:val="top"/>
          </w:tcPr>
          <w:p w14:paraId="19E503D9">
            <w:pPr>
              <w:pStyle w:val="289"/>
              <w:tabs>
                <w:tab w:val="left" w:pos="567"/>
                <w:tab w:val="left" w:pos="709"/>
                <w:tab w:val="left" w:pos="993"/>
              </w:tabs>
              <w:spacing w:line="560" w:lineRule="exact"/>
              <w:rPr>
                <w:color w:val="000000"/>
                <w:szCs w:val="21"/>
                <w:highlight w:val="none"/>
              </w:rPr>
            </w:pPr>
          </w:p>
        </w:tc>
        <w:tc>
          <w:tcPr>
            <w:tcW w:w="434" w:type="dxa"/>
            <w:noWrap w:val="0"/>
            <w:vAlign w:val="top"/>
          </w:tcPr>
          <w:p w14:paraId="49806F12">
            <w:pPr>
              <w:pStyle w:val="289"/>
              <w:tabs>
                <w:tab w:val="left" w:pos="567"/>
                <w:tab w:val="left" w:pos="709"/>
                <w:tab w:val="left" w:pos="993"/>
              </w:tabs>
              <w:spacing w:line="560" w:lineRule="exact"/>
              <w:rPr>
                <w:color w:val="000000"/>
                <w:szCs w:val="21"/>
                <w:highlight w:val="none"/>
              </w:rPr>
            </w:pPr>
          </w:p>
        </w:tc>
      </w:tr>
      <w:tr w14:paraId="41018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7" w:type="dxa"/>
            <w:noWrap w:val="0"/>
            <w:vAlign w:val="top"/>
          </w:tcPr>
          <w:p w14:paraId="784A4E58">
            <w:pPr>
              <w:pStyle w:val="289"/>
              <w:tabs>
                <w:tab w:val="left" w:pos="567"/>
                <w:tab w:val="left" w:pos="709"/>
                <w:tab w:val="left" w:pos="993"/>
              </w:tabs>
              <w:spacing w:line="560" w:lineRule="exact"/>
              <w:rPr>
                <w:color w:val="000000"/>
                <w:szCs w:val="21"/>
                <w:highlight w:val="none"/>
              </w:rPr>
            </w:pPr>
          </w:p>
        </w:tc>
        <w:tc>
          <w:tcPr>
            <w:tcW w:w="714" w:type="dxa"/>
            <w:noWrap w:val="0"/>
            <w:vAlign w:val="top"/>
          </w:tcPr>
          <w:p w14:paraId="3A222BAB">
            <w:pPr>
              <w:pStyle w:val="289"/>
              <w:tabs>
                <w:tab w:val="left" w:pos="567"/>
                <w:tab w:val="left" w:pos="709"/>
                <w:tab w:val="left" w:pos="993"/>
              </w:tabs>
              <w:spacing w:line="560" w:lineRule="exact"/>
              <w:rPr>
                <w:color w:val="000000"/>
                <w:szCs w:val="21"/>
                <w:highlight w:val="none"/>
              </w:rPr>
            </w:pPr>
          </w:p>
        </w:tc>
        <w:tc>
          <w:tcPr>
            <w:tcW w:w="1355" w:type="dxa"/>
            <w:noWrap w:val="0"/>
            <w:vAlign w:val="top"/>
          </w:tcPr>
          <w:p w14:paraId="4F953873">
            <w:pPr>
              <w:pStyle w:val="289"/>
              <w:tabs>
                <w:tab w:val="left" w:pos="567"/>
                <w:tab w:val="left" w:pos="709"/>
                <w:tab w:val="left" w:pos="993"/>
              </w:tabs>
              <w:spacing w:line="560" w:lineRule="exact"/>
              <w:rPr>
                <w:color w:val="000000"/>
                <w:szCs w:val="21"/>
                <w:highlight w:val="none"/>
              </w:rPr>
            </w:pPr>
          </w:p>
        </w:tc>
        <w:tc>
          <w:tcPr>
            <w:tcW w:w="1190" w:type="dxa"/>
            <w:noWrap w:val="0"/>
            <w:vAlign w:val="top"/>
          </w:tcPr>
          <w:p w14:paraId="2D5EC488">
            <w:pPr>
              <w:pStyle w:val="289"/>
              <w:tabs>
                <w:tab w:val="left" w:pos="567"/>
                <w:tab w:val="left" w:pos="709"/>
                <w:tab w:val="left" w:pos="993"/>
              </w:tabs>
              <w:spacing w:line="560" w:lineRule="exact"/>
              <w:rPr>
                <w:color w:val="000000"/>
                <w:szCs w:val="21"/>
                <w:highlight w:val="none"/>
              </w:rPr>
            </w:pPr>
          </w:p>
        </w:tc>
        <w:tc>
          <w:tcPr>
            <w:tcW w:w="940" w:type="dxa"/>
            <w:noWrap w:val="0"/>
            <w:vAlign w:val="top"/>
          </w:tcPr>
          <w:p w14:paraId="1156A953">
            <w:pPr>
              <w:pStyle w:val="289"/>
              <w:tabs>
                <w:tab w:val="left" w:pos="567"/>
                <w:tab w:val="left" w:pos="709"/>
                <w:tab w:val="left" w:pos="993"/>
              </w:tabs>
              <w:spacing w:line="560" w:lineRule="exact"/>
              <w:rPr>
                <w:color w:val="000000"/>
                <w:szCs w:val="21"/>
                <w:highlight w:val="none"/>
              </w:rPr>
            </w:pPr>
          </w:p>
        </w:tc>
        <w:tc>
          <w:tcPr>
            <w:tcW w:w="434" w:type="dxa"/>
            <w:noWrap w:val="0"/>
            <w:vAlign w:val="top"/>
          </w:tcPr>
          <w:p w14:paraId="4E96963E">
            <w:pPr>
              <w:pStyle w:val="289"/>
              <w:tabs>
                <w:tab w:val="left" w:pos="567"/>
                <w:tab w:val="left" w:pos="709"/>
                <w:tab w:val="left" w:pos="993"/>
              </w:tabs>
              <w:spacing w:line="560" w:lineRule="exact"/>
              <w:rPr>
                <w:color w:val="000000"/>
                <w:szCs w:val="21"/>
                <w:highlight w:val="none"/>
              </w:rPr>
            </w:pPr>
          </w:p>
        </w:tc>
      </w:tr>
      <w:tr w14:paraId="1A2CC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67" w:type="dxa"/>
            <w:noWrap w:val="0"/>
            <w:vAlign w:val="top"/>
          </w:tcPr>
          <w:p w14:paraId="308EC2E2">
            <w:pPr>
              <w:pStyle w:val="289"/>
              <w:tabs>
                <w:tab w:val="left" w:pos="567"/>
                <w:tab w:val="left" w:pos="709"/>
                <w:tab w:val="left" w:pos="993"/>
              </w:tabs>
              <w:spacing w:line="560" w:lineRule="exact"/>
              <w:rPr>
                <w:color w:val="000000"/>
                <w:szCs w:val="21"/>
                <w:highlight w:val="none"/>
              </w:rPr>
            </w:pPr>
          </w:p>
        </w:tc>
        <w:tc>
          <w:tcPr>
            <w:tcW w:w="714" w:type="dxa"/>
            <w:noWrap w:val="0"/>
            <w:vAlign w:val="top"/>
          </w:tcPr>
          <w:p w14:paraId="6074DAEF">
            <w:pPr>
              <w:pStyle w:val="289"/>
              <w:tabs>
                <w:tab w:val="left" w:pos="567"/>
                <w:tab w:val="left" w:pos="709"/>
                <w:tab w:val="left" w:pos="993"/>
              </w:tabs>
              <w:spacing w:line="560" w:lineRule="exact"/>
              <w:rPr>
                <w:color w:val="000000"/>
                <w:szCs w:val="21"/>
                <w:highlight w:val="none"/>
              </w:rPr>
            </w:pPr>
          </w:p>
        </w:tc>
        <w:tc>
          <w:tcPr>
            <w:tcW w:w="1355" w:type="dxa"/>
            <w:noWrap w:val="0"/>
            <w:vAlign w:val="top"/>
          </w:tcPr>
          <w:p w14:paraId="2CBAE4D1">
            <w:pPr>
              <w:pStyle w:val="289"/>
              <w:tabs>
                <w:tab w:val="left" w:pos="567"/>
                <w:tab w:val="left" w:pos="709"/>
                <w:tab w:val="left" w:pos="993"/>
              </w:tabs>
              <w:spacing w:line="560" w:lineRule="exact"/>
              <w:rPr>
                <w:color w:val="000000"/>
                <w:szCs w:val="21"/>
                <w:highlight w:val="none"/>
              </w:rPr>
            </w:pPr>
          </w:p>
        </w:tc>
        <w:tc>
          <w:tcPr>
            <w:tcW w:w="1190" w:type="dxa"/>
            <w:noWrap w:val="0"/>
            <w:vAlign w:val="top"/>
          </w:tcPr>
          <w:p w14:paraId="1A81F7A3">
            <w:pPr>
              <w:pStyle w:val="289"/>
              <w:tabs>
                <w:tab w:val="left" w:pos="567"/>
                <w:tab w:val="left" w:pos="709"/>
                <w:tab w:val="left" w:pos="993"/>
              </w:tabs>
              <w:spacing w:line="560" w:lineRule="exact"/>
              <w:rPr>
                <w:color w:val="000000"/>
                <w:szCs w:val="21"/>
                <w:highlight w:val="none"/>
              </w:rPr>
            </w:pPr>
          </w:p>
        </w:tc>
        <w:tc>
          <w:tcPr>
            <w:tcW w:w="940" w:type="dxa"/>
            <w:noWrap w:val="0"/>
            <w:vAlign w:val="top"/>
          </w:tcPr>
          <w:p w14:paraId="5CB06482">
            <w:pPr>
              <w:pStyle w:val="289"/>
              <w:tabs>
                <w:tab w:val="left" w:pos="567"/>
                <w:tab w:val="left" w:pos="709"/>
                <w:tab w:val="left" w:pos="993"/>
              </w:tabs>
              <w:spacing w:line="560" w:lineRule="exact"/>
              <w:rPr>
                <w:color w:val="000000"/>
                <w:szCs w:val="21"/>
                <w:highlight w:val="none"/>
              </w:rPr>
            </w:pPr>
          </w:p>
        </w:tc>
        <w:tc>
          <w:tcPr>
            <w:tcW w:w="434" w:type="dxa"/>
            <w:noWrap w:val="0"/>
            <w:vAlign w:val="top"/>
          </w:tcPr>
          <w:p w14:paraId="2C707067">
            <w:pPr>
              <w:pStyle w:val="289"/>
              <w:tabs>
                <w:tab w:val="left" w:pos="567"/>
                <w:tab w:val="left" w:pos="709"/>
                <w:tab w:val="left" w:pos="993"/>
              </w:tabs>
              <w:spacing w:line="560" w:lineRule="exact"/>
              <w:rPr>
                <w:color w:val="000000"/>
                <w:szCs w:val="21"/>
                <w:highlight w:val="none"/>
              </w:rPr>
            </w:pPr>
          </w:p>
        </w:tc>
      </w:tr>
    </w:tbl>
    <w:p w14:paraId="313E659D">
      <w:pPr>
        <w:pStyle w:val="289"/>
        <w:ind w:right="240"/>
        <w:jc w:val="right"/>
        <w:rPr>
          <w:sz w:val="24"/>
          <w:szCs w:val="24"/>
          <w:highlight w:val="none"/>
        </w:rPr>
      </w:pPr>
    </w:p>
    <w:p w14:paraId="76058F6F">
      <w:pPr>
        <w:pStyle w:val="290"/>
        <w:outlineLvl w:val="1"/>
        <w:rPr>
          <w:rFonts w:hint="eastAsia" w:ascii="宋体" w:hAnsi="宋体" w:eastAsia="宋体"/>
          <w:szCs w:val="21"/>
          <w:highlight w:val="none"/>
          <w:lang w:val="en-US" w:eastAsia="zh-CN"/>
        </w:rPr>
      </w:pPr>
      <w:bookmarkStart w:id="345" w:name="_Toc152745375"/>
      <w:bookmarkStart w:id="346" w:name="_Toc20820"/>
      <w:r>
        <w:rPr>
          <w:rFonts w:hint="eastAsia" w:ascii="宋体" w:hAnsi="宋体" w:eastAsia="宋体"/>
          <w:szCs w:val="21"/>
          <w:highlight w:val="none"/>
          <w:lang w:val="en-US" w:eastAsia="zh-CN"/>
        </w:rPr>
        <w:t>填表说明：</w:t>
      </w:r>
      <w:bookmarkEnd w:id="345"/>
      <w:bookmarkEnd w:id="346"/>
    </w:p>
    <w:p w14:paraId="59DEFD66">
      <w:pPr>
        <w:pStyle w:val="290"/>
        <w:outlineLvl w:val="1"/>
        <w:rPr>
          <w:rFonts w:ascii="宋体" w:hAnsi="宋体" w:eastAsia="宋体"/>
          <w:szCs w:val="21"/>
          <w:highlight w:val="none"/>
          <w:lang w:val="en-US" w:eastAsia="zh-CN"/>
        </w:rPr>
      </w:pPr>
      <w:bookmarkStart w:id="347" w:name="_Toc11894"/>
      <w:bookmarkStart w:id="348" w:name="_Toc152745376"/>
      <w:r>
        <w:rPr>
          <w:rFonts w:hint="eastAsia" w:ascii="宋体" w:hAnsi="宋体" w:eastAsia="宋体"/>
          <w:szCs w:val="21"/>
          <w:highlight w:val="none"/>
          <w:lang w:val="en-US" w:eastAsia="zh-CN"/>
        </w:rPr>
        <w:t>1</w:t>
      </w:r>
      <w:r>
        <w:rPr>
          <w:rFonts w:ascii="宋体" w:hAnsi="宋体" w:eastAsia="宋体"/>
          <w:szCs w:val="21"/>
          <w:highlight w:val="none"/>
          <w:lang w:val="en-US" w:eastAsia="zh-CN"/>
        </w:rPr>
        <w:t>.</w:t>
      </w:r>
      <w:r>
        <w:rPr>
          <w:rFonts w:hint="eastAsia" w:ascii="宋体" w:hAnsi="宋体" w:eastAsia="宋体"/>
          <w:szCs w:val="21"/>
          <w:highlight w:val="none"/>
          <w:lang w:val="en-US" w:eastAsia="zh-CN"/>
        </w:rPr>
        <w:t>本表根据磋商文件“第四部分 采购需求”的“技术要求”、“服务要求”进行填写；</w:t>
      </w:r>
      <w:bookmarkEnd w:id="347"/>
      <w:bookmarkEnd w:id="348"/>
    </w:p>
    <w:p w14:paraId="444E3CF2">
      <w:pPr>
        <w:pStyle w:val="290"/>
        <w:outlineLvl w:val="1"/>
        <w:rPr>
          <w:rFonts w:hint="eastAsia" w:ascii="宋体" w:hAnsi="宋体" w:eastAsia="宋体"/>
          <w:szCs w:val="21"/>
          <w:highlight w:val="none"/>
          <w:lang w:val="en-US" w:eastAsia="zh-CN"/>
        </w:rPr>
      </w:pPr>
      <w:bookmarkStart w:id="349" w:name="_Toc152745377"/>
      <w:bookmarkStart w:id="350" w:name="_Toc4153"/>
      <w:r>
        <w:rPr>
          <w:rFonts w:hint="eastAsia" w:ascii="宋体" w:hAnsi="宋体" w:eastAsia="宋体"/>
          <w:szCs w:val="21"/>
          <w:highlight w:val="none"/>
          <w:lang w:val="en-US" w:eastAsia="zh-CN"/>
        </w:rPr>
        <w:t>2</w:t>
      </w:r>
      <w:r>
        <w:rPr>
          <w:rFonts w:ascii="宋体" w:hAnsi="宋体" w:eastAsia="宋体"/>
          <w:szCs w:val="21"/>
          <w:highlight w:val="none"/>
          <w:lang w:val="en-US" w:eastAsia="zh-CN"/>
        </w:rPr>
        <w:t>.</w:t>
      </w:r>
      <w:r>
        <w:rPr>
          <w:rFonts w:hint="eastAsia" w:ascii="宋体" w:hAnsi="宋体" w:eastAsia="宋体"/>
          <w:szCs w:val="21"/>
          <w:highlight w:val="none"/>
          <w:lang w:val="en-US" w:eastAsia="zh-CN"/>
        </w:rPr>
        <w:t>行数不够，可自行添加；</w:t>
      </w:r>
      <w:bookmarkEnd w:id="349"/>
      <w:bookmarkEnd w:id="350"/>
    </w:p>
    <w:p w14:paraId="55E5F728">
      <w:pPr>
        <w:pStyle w:val="290"/>
        <w:outlineLvl w:val="1"/>
        <w:rPr>
          <w:rFonts w:hint="eastAsia" w:ascii="宋体" w:hAnsi="宋体" w:eastAsia="宋体"/>
          <w:szCs w:val="21"/>
          <w:highlight w:val="none"/>
          <w:lang w:val="en-US" w:eastAsia="zh-CN"/>
        </w:rPr>
      </w:pPr>
      <w:bookmarkStart w:id="351" w:name="_Toc3527"/>
      <w:bookmarkStart w:id="352" w:name="_Toc152745378"/>
      <w:r>
        <w:rPr>
          <w:rFonts w:hint="eastAsia" w:ascii="宋体" w:hAnsi="宋体" w:eastAsia="宋体"/>
          <w:szCs w:val="21"/>
          <w:highlight w:val="none"/>
          <w:lang w:val="en-US" w:eastAsia="zh-CN"/>
        </w:rPr>
        <w:t>3</w:t>
      </w:r>
      <w:r>
        <w:rPr>
          <w:rFonts w:ascii="宋体" w:hAnsi="宋体" w:eastAsia="宋体"/>
          <w:szCs w:val="21"/>
          <w:highlight w:val="none"/>
          <w:lang w:val="en-US" w:eastAsia="zh-CN"/>
        </w:rPr>
        <w:t>.</w:t>
      </w:r>
      <w:r>
        <w:rPr>
          <w:rFonts w:hint="eastAsia" w:ascii="宋体" w:hAnsi="宋体" w:eastAsia="宋体"/>
          <w:szCs w:val="21"/>
          <w:highlight w:val="none"/>
          <w:lang w:val="en-US" w:eastAsia="zh-CN"/>
        </w:rPr>
        <w:t>供应商如果对磋商文件“第四部分 采购需求”的“技术要求”、“服务要求”的响应有偏离，应注明“正/负偏离”，并将偏离条款逐条如实应答，并作出说明；</w:t>
      </w:r>
      <w:bookmarkEnd w:id="351"/>
      <w:bookmarkEnd w:id="352"/>
    </w:p>
    <w:p w14:paraId="00C3D096">
      <w:pPr>
        <w:pStyle w:val="290"/>
        <w:outlineLvl w:val="1"/>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4.本表后附相关证明材料</w:t>
      </w:r>
    </w:p>
    <w:p w14:paraId="4715B534">
      <w:pPr>
        <w:pStyle w:val="290"/>
        <w:jc w:val="right"/>
        <w:outlineLvl w:val="1"/>
        <w:rPr>
          <w:rFonts w:ascii="宋体" w:hAnsi="宋体" w:eastAsia="宋体" w:cs="宋体"/>
          <w:highlight w:val="none"/>
        </w:rPr>
      </w:pPr>
    </w:p>
    <w:p w14:paraId="3C2D6FBF">
      <w:pPr>
        <w:pStyle w:val="290"/>
        <w:jc w:val="right"/>
        <w:outlineLvl w:val="1"/>
        <w:rPr>
          <w:rFonts w:ascii="宋体" w:hAnsi="宋体" w:eastAsia="宋体" w:cs="宋体"/>
          <w:highlight w:val="none"/>
        </w:rPr>
      </w:pPr>
    </w:p>
    <w:p w14:paraId="288D65A7">
      <w:pPr>
        <w:pStyle w:val="290"/>
        <w:jc w:val="right"/>
        <w:outlineLvl w:val="1"/>
        <w:rPr>
          <w:rFonts w:ascii="宋体" w:hAnsi="宋体" w:eastAsia="宋体" w:cs="宋体"/>
          <w:highlight w:val="none"/>
        </w:rPr>
      </w:pPr>
    </w:p>
    <w:p w14:paraId="03C71B89">
      <w:pPr>
        <w:pStyle w:val="290"/>
        <w:jc w:val="right"/>
        <w:outlineLvl w:val="1"/>
        <w:rPr>
          <w:rFonts w:ascii="宋体" w:hAnsi="宋体" w:eastAsia="宋体" w:cs="宋体"/>
          <w:highlight w:val="none"/>
        </w:rPr>
      </w:pPr>
    </w:p>
    <w:p w14:paraId="34CB7AC7">
      <w:pPr>
        <w:pStyle w:val="290"/>
        <w:jc w:val="right"/>
        <w:outlineLvl w:val="1"/>
        <w:rPr>
          <w:rFonts w:hint="eastAsia"/>
          <w:highlight w:val="none"/>
        </w:rPr>
      </w:pPr>
      <w:bookmarkStart w:id="353" w:name="_Toc152745379"/>
      <w:bookmarkStart w:id="354" w:name="_Toc19913"/>
      <w:r>
        <w:rPr>
          <w:rFonts w:hint="eastAsia" w:ascii="宋体" w:hAnsi="宋体" w:eastAsia="宋体" w:cs="宋体"/>
          <w:highlight w:val="none"/>
        </w:rPr>
        <w:t>法定代表人（签字或盖章）：</w:t>
      </w:r>
      <w:bookmarkEnd w:id="353"/>
      <w:bookmarkEnd w:id="354"/>
    </w:p>
    <w:p w14:paraId="1533EC28">
      <w:pPr>
        <w:pStyle w:val="290"/>
        <w:jc w:val="right"/>
        <w:outlineLvl w:val="1"/>
        <w:rPr>
          <w:rFonts w:hint="eastAsia"/>
          <w:highlight w:val="none"/>
        </w:rPr>
      </w:pPr>
      <w:bookmarkStart w:id="355" w:name="_Toc16430"/>
      <w:bookmarkStart w:id="356" w:name="_Toc152745380"/>
      <w:r>
        <w:rPr>
          <w:rFonts w:hint="eastAsia" w:ascii="宋体" w:hAnsi="宋体" w:eastAsia="宋体" w:cs="宋体"/>
          <w:highlight w:val="none"/>
        </w:rPr>
        <w:t>供应商名称（盖章）：</w:t>
      </w:r>
      <w:bookmarkEnd w:id="355"/>
      <w:bookmarkEnd w:id="356"/>
    </w:p>
    <w:p w14:paraId="44142B3F">
      <w:pPr>
        <w:pStyle w:val="290"/>
        <w:jc w:val="center"/>
        <w:outlineLvl w:val="1"/>
        <w:rPr>
          <w:highlight w:val="none"/>
        </w:rPr>
      </w:pPr>
      <w:bookmarkStart w:id="357" w:name="_Toc31854"/>
      <w:r>
        <w:rPr>
          <w:rFonts w:hint="eastAsia" w:ascii="宋体" w:hAnsi="宋体" w:eastAsia="宋体" w:cs="宋体"/>
          <w:highlight w:val="none"/>
        </w:rPr>
        <w:t>日期：</w:t>
      </w:r>
      <w:r>
        <w:rPr>
          <w:rFonts w:hint="eastAsia"/>
          <w:highlight w:val="none"/>
        </w:rPr>
        <w:t xml:space="preserve">   </w:t>
      </w:r>
      <w:r>
        <w:rPr>
          <w:rFonts w:hint="eastAsia" w:ascii="宋体" w:hAnsi="宋体" w:eastAsia="宋体" w:cs="宋体"/>
          <w:highlight w:val="none"/>
        </w:rPr>
        <w:t>年</w:t>
      </w:r>
      <w:r>
        <w:rPr>
          <w:rFonts w:hint="eastAsia"/>
          <w:highlight w:val="none"/>
        </w:rPr>
        <w:t xml:space="preserve">   </w:t>
      </w:r>
      <w:r>
        <w:rPr>
          <w:rFonts w:hint="eastAsia" w:ascii="宋体" w:hAnsi="宋体" w:eastAsia="宋体" w:cs="宋体"/>
          <w:highlight w:val="none"/>
        </w:rPr>
        <w:t>月</w:t>
      </w:r>
      <w:r>
        <w:rPr>
          <w:rFonts w:hint="eastAsia"/>
          <w:highlight w:val="none"/>
        </w:rPr>
        <w:t xml:space="preserve">   </w:t>
      </w:r>
      <w:r>
        <w:rPr>
          <w:rFonts w:hint="eastAsia" w:ascii="宋体" w:hAnsi="宋体" w:eastAsia="宋体" w:cs="宋体"/>
          <w:highlight w:val="none"/>
        </w:rPr>
        <w:t>日</w:t>
      </w:r>
      <w:r>
        <w:rPr>
          <w:highlight w:val="none"/>
        </w:rPr>
        <w:br w:type="page" w:clear="all"/>
      </w:r>
      <w:r>
        <w:rPr>
          <w:rFonts w:ascii="宋体" w:hAnsi="宋体" w:eastAsia="宋体" w:cs="宋体"/>
          <w:b/>
          <w:bCs/>
          <w:sz w:val="32"/>
          <w:highlight w:val="none"/>
        </w:rPr>
        <w:t>三、商务部分</w:t>
      </w:r>
      <w:bookmarkEnd w:id="357"/>
    </w:p>
    <w:p w14:paraId="4D7A8DB7">
      <w:pPr>
        <w:pStyle w:val="291"/>
        <w:jc w:val="center"/>
        <w:outlineLvl w:val="2"/>
        <w:rPr>
          <w:highlight w:val="none"/>
        </w:rPr>
      </w:pPr>
      <w:r>
        <w:rPr>
          <w:rFonts w:hint="eastAsia" w:ascii="宋体" w:hAnsi="宋体" w:eastAsia="宋体" w:cs="宋体"/>
          <w:b/>
          <w:bCs/>
          <w:sz w:val="28"/>
          <w:szCs w:val="24"/>
          <w:highlight w:val="none"/>
          <w:lang w:eastAsia="zh-CN" w:bidi="ar-SA"/>
        </w:rPr>
        <w:t>（</w:t>
      </w:r>
      <w:r>
        <w:rPr>
          <w:rFonts w:hint="eastAsia" w:ascii="宋体" w:hAnsi="宋体" w:eastAsia="宋体" w:cs="宋体"/>
          <w:b/>
          <w:bCs/>
          <w:sz w:val="28"/>
          <w:szCs w:val="24"/>
          <w:highlight w:val="none"/>
          <w:lang w:val="en-US" w:eastAsia="zh-CN" w:bidi="ar-SA"/>
        </w:rPr>
        <w:t>一</w:t>
      </w:r>
      <w:r>
        <w:rPr>
          <w:rFonts w:hint="eastAsia" w:ascii="宋体" w:hAnsi="宋体" w:eastAsia="宋体" w:cs="宋体"/>
          <w:b/>
          <w:bCs/>
          <w:sz w:val="28"/>
          <w:szCs w:val="24"/>
          <w:highlight w:val="none"/>
          <w:lang w:eastAsia="zh-CN" w:bidi="ar-SA"/>
        </w:rPr>
        <w:t>）</w:t>
      </w:r>
      <w:r>
        <w:rPr>
          <w:rFonts w:hint="eastAsia" w:ascii="宋体" w:hAnsi="宋体" w:eastAsia="宋体" w:cs="宋体"/>
          <w:b/>
          <w:bCs/>
          <w:sz w:val="28"/>
          <w:szCs w:val="24"/>
          <w:highlight w:val="none"/>
          <w:lang w:val="en-US" w:eastAsia="zh-CN" w:bidi="ar-SA"/>
        </w:rPr>
        <w:t>供应商相关证书</w:t>
      </w:r>
      <w:r>
        <w:rPr>
          <w:highlight w:val="none"/>
        </w:rPr>
        <w:br w:type="page" w:clear="all"/>
      </w:r>
    </w:p>
    <w:p w14:paraId="1CA01EC6">
      <w:pPr>
        <w:pStyle w:val="293"/>
        <w:jc w:val="center"/>
        <w:outlineLvl w:val="2"/>
        <w:rPr>
          <w:rFonts w:hint="eastAsia" w:ascii="宋体" w:hAnsi="宋体" w:eastAsia="宋体" w:cs="宋体"/>
          <w:b/>
          <w:bCs/>
          <w:sz w:val="28"/>
          <w:szCs w:val="24"/>
          <w:highlight w:val="none"/>
          <w:lang w:bidi="ar-SA"/>
        </w:rPr>
      </w:pPr>
      <w:bookmarkStart w:id="358" w:name="_Toc18928"/>
      <w:r>
        <w:rPr>
          <w:rFonts w:hint="eastAsia" w:ascii="宋体" w:hAnsi="宋体" w:eastAsia="宋体" w:cs="宋体"/>
          <w:b/>
          <w:bCs/>
          <w:sz w:val="28"/>
          <w:szCs w:val="24"/>
          <w:highlight w:val="none"/>
          <w:lang w:bidi="ar-SA"/>
        </w:rPr>
        <w:t>(</w:t>
      </w:r>
      <w:r>
        <w:rPr>
          <w:rFonts w:hint="eastAsia" w:ascii="宋体" w:hAnsi="宋体" w:eastAsia="宋体" w:cs="宋体"/>
          <w:b/>
          <w:bCs/>
          <w:sz w:val="28"/>
          <w:szCs w:val="24"/>
          <w:highlight w:val="none"/>
          <w:lang w:val="en-US" w:eastAsia="zh-CN" w:bidi="ar-SA"/>
        </w:rPr>
        <w:t>二</w:t>
      </w:r>
      <w:r>
        <w:rPr>
          <w:rFonts w:hint="eastAsia" w:ascii="宋体" w:hAnsi="宋体" w:eastAsia="宋体" w:cs="宋体"/>
          <w:b/>
          <w:bCs/>
          <w:sz w:val="28"/>
          <w:szCs w:val="24"/>
          <w:highlight w:val="none"/>
          <w:lang w:bidi="ar-SA"/>
        </w:rPr>
        <w:t xml:space="preserve">) </w:t>
      </w:r>
      <w:bookmarkEnd w:id="358"/>
      <w:r>
        <w:rPr>
          <w:rFonts w:hint="eastAsia" w:ascii="宋体" w:hAnsi="宋体" w:eastAsia="宋体" w:cs="宋体"/>
          <w:b/>
          <w:bCs/>
          <w:sz w:val="28"/>
          <w:szCs w:val="24"/>
          <w:highlight w:val="none"/>
          <w:lang w:bidi="ar-SA"/>
        </w:rPr>
        <w:t>项目成员</w:t>
      </w:r>
    </w:p>
    <w:p w14:paraId="2727CBB6">
      <w:pPr>
        <w:pStyle w:val="314"/>
        <w:jc w:val="center"/>
        <w:outlineLvl w:val="2"/>
        <w:rPr>
          <w:highlight w:val="none"/>
        </w:rPr>
      </w:pPr>
      <w:r>
        <w:rPr>
          <w:rFonts w:hint="eastAsia" w:ascii="宋体" w:hAnsi="宋体" w:eastAsia="宋体" w:cs="宋体"/>
          <w:b/>
          <w:bCs/>
          <w:sz w:val="28"/>
          <w:highlight w:val="none"/>
          <w:lang w:val="en-US" w:eastAsia="zh-CN"/>
        </w:rPr>
        <w:t>1、</w:t>
      </w:r>
      <w:r>
        <w:rPr>
          <w:rFonts w:ascii="宋体" w:hAnsi="宋体" w:eastAsia="宋体" w:cs="宋体"/>
          <w:b/>
          <w:bCs/>
          <w:sz w:val="28"/>
          <w:highlight w:val="none"/>
        </w:rPr>
        <w:t>项目</w:t>
      </w:r>
      <w:r>
        <w:rPr>
          <w:rFonts w:hint="eastAsia" w:ascii="宋体" w:hAnsi="宋体" w:eastAsia="宋体" w:cs="宋体"/>
          <w:b/>
          <w:bCs/>
          <w:sz w:val="28"/>
          <w:highlight w:val="none"/>
          <w:lang w:eastAsia="zh-CN"/>
        </w:rPr>
        <w:t>负责人</w:t>
      </w:r>
      <w:r>
        <w:rPr>
          <w:rFonts w:ascii="宋体" w:hAnsi="宋体" w:eastAsia="宋体" w:cs="宋体"/>
          <w:b/>
          <w:bCs/>
          <w:sz w:val="28"/>
          <w:highlight w:val="none"/>
        </w:rPr>
        <w:t>能力</w:t>
      </w:r>
    </w:p>
    <w:tbl>
      <w:tblPr>
        <w:tblStyle w:val="33"/>
        <w:tblpPr w:leftFromText="180" w:rightFromText="180" w:vertAnchor="text" w:horzAnchor="page" w:tblpX="1270" w:tblpY="28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12"/>
        <w:gridCol w:w="7270"/>
      </w:tblGrid>
      <w:tr w14:paraId="5110A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2312" w:type="dxa"/>
            <w:noWrap w:val="0"/>
            <w:vAlign w:val="center"/>
          </w:tcPr>
          <w:p w14:paraId="4E1C33AD">
            <w:pPr>
              <w:pStyle w:val="316"/>
              <w:spacing w:line="360" w:lineRule="auto"/>
              <w:ind w:left="0" w:leftChars="0" w:firstLine="0" w:firstLineChars="0"/>
              <w:jc w:val="center"/>
              <w:rPr>
                <w:rFonts w:ascii="宋体" w:hAnsi="宋体"/>
                <w:bCs/>
                <w:sz w:val="24"/>
                <w:highlight w:val="none"/>
                <w:lang w:val="en-US" w:eastAsia="zh-CN"/>
              </w:rPr>
            </w:pPr>
            <w:r>
              <w:rPr>
                <w:rFonts w:ascii="宋体" w:hAnsi="宋体"/>
                <w:b w:val="0"/>
                <w:sz w:val="24"/>
                <w:highlight w:val="none"/>
                <w:lang w:val="en-US" w:eastAsia="zh-CN"/>
              </w:rPr>
              <w:br w:type="page" w:clear="all"/>
            </w:r>
            <w:r>
              <w:rPr>
                <w:rFonts w:hint="eastAsia" w:ascii="宋体" w:hAnsi="宋体"/>
                <w:bCs/>
                <w:sz w:val="24"/>
                <w:highlight w:val="none"/>
                <w:lang w:val="en-US" w:eastAsia="zh-CN"/>
              </w:rPr>
              <w:t>姓名</w:t>
            </w:r>
          </w:p>
        </w:tc>
        <w:tc>
          <w:tcPr>
            <w:tcW w:w="7270" w:type="dxa"/>
            <w:noWrap w:val="0"/>
            <w:vAlign w:val="center"/>
          </w:tcPr>
          <w:p w14:paraId="054EC969">
            <w:pPr>
              <w:pStyle w:val="316"/>
              <w:spacing w:line="360" w:lineRule="auto"/>
              <w:ind w:left="-15" w:firstLine="480"/>
              <w:rPr>
                <w:rFonts w:ascii="宋体" w:hAnsi="宋体"/>
                <w:bCs/>
                <w:sz w:val="24"/>
                <w:highlight w:val="none"/>
                <w:lang w:val="en-US" w:eastAsia="zh-CN"/>
              </w:rPr>
            </w:pPr>
            <w:r>
              <w:rPr>
                <w:rFonts w:hint="eastAsia" w:ascii="宋体" w:hAnsi="宋体"/>
                <w:bCs/>
                <w:sz w:val="24"/>
                <w:highlight w:val="none"/>
                <w:lang w:val="en-US" w:eastAsia="zh-CN"/>
              </w:rPr>
              <w:t>近3年工作业绩及承担的主要工作</w:t>
            </w:r>
          </w:p>
        </w:tc>
      </w:tr>
      <w:tr w14:paraId="5DDD2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2312" w:type="dxa"/>
            <w:noWrap w:val="0"/>
            <w:vAlign w:val="center"/>
          </w:tcPr>
          <w:p w14:paraId="229AAA18">
            <w:pPr>
              <w:pStyle w:val="316"/>
              <w:spacing w:line="360" w:lineRule="auto"/>
              <w:ind w:left="0" w:leftChars="0" w:firstLine="0" w:firstLineChars="0"/>
              <w:jc w:val="center"/>
              <w:rPr>
                <w:rFonts w:ascii="宋体" w:hAnsi="宋体"/>
                <w:bCs/>
                <w:sz w:val="24"/>
                <w:highlight w:val="none"/>
                <w:lang w:val="en-US" w:eastAsia="zh-CN"/>
              </w:rPr>
            </w:pPr>
            <w:r>
              <w:rPr>
                <w:rFonts w:hint="eastAsia" w:ascii="宋体" w:hAnsi="宋体"/>
                <w:bCs/>
                <w:sz w:val="24"/>
                <w:highlight w:val="none"/>
                <w:lang w:val="en-US" w:eastAsia="zh-CN"/>
              </w:rPr>
              <w:t>性别</w:t>
            </w:r>
          </w:p>
        </w:tc>
        <w:tc>
          <w:tcPr>
            <w:tcW w:w="7270" w:type="dxa"/>
            <w:vMerge w:val="restart"/>
            <w:noWrap w:val="0"/>
            <w:vAlign w:val="center"/>
          </w:tcPr>
          <w:p w14:paraId="5C1C5F84">
            <w:pPr>
              <w:pStyle w:val="316"/>
              <w:spacing w:line="360" w:lineRule="auto"/>
              <w:ind w:left="-15" w:firstLine="480"/>
              <w:rPr>
                <w:rFonts w:ascii="宋体" w:hAnsi="宋体"/>
                <w:bCs/>
                <w:sz w:val="24"/>
                <w:highlight w:val="none"/>
                <w:lang w:val="en-US" w:eastAsia="zh-CN"/>
              </w:rPr>
            </w:pPr>
          </w:p>
        </w:tc>
      </w:tr>
      <w:tr w14:paraId="5CA4E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2312" w:type="dxa"/>
            <w:noWrap w:val="0"/>
            <w:vAlign w:val="center"/>
          </w:tcPr>
          <w:p w14:paraId="2E2BBE5B">
            <w:pPr>
              <w:pStyle w:val="316"/>
              <w:spacing w:line="360" w:lineRule="auto"/>
              <w:ind w:left="0" w:leftChars="0" w:firstLine="0" w:firstLineChars="0"/>
              <w:jc w:val="center"/>
              <w:rPr>
                <w:rFonts w:ascii="宋体" w:hAnsi="宋体"/>
                <w:bCs/>
                <w:sz w:val="24"/>
                <w:highlight w:val="none"/>
                <w:lang w:val="en-US" w:eastAsia="zh-CN"/>
              </w:rPr>
            </w:pPr>
            <w:r>
              <w:rPr>
                <w:rFonts w:hint="eastAsia" w:ascii="宋体" w:hAnsi="宋体"/>
                <w:bCs/>
                <w:sz w:val="24"/>
                <w:highlight w:val="none"/>
                <w:lang w:val="en-US" w:eastAsia="zh-CN"/>
              </w:rPr>
              <w:t>年龄</w:t>
            </w:r>
          </w:p>
        </w:tc>
        <w:tc>
          <w:tcPr>
            <w:tcW w:w="7270" w:type="dxa"/>
            <w:vMerge w:val="continue"/>
            <w:noWrap w:val="0"/>
            <w:vAlign w:val="center"/>
          </w:tcPr>
          <w:p w14:paraId="536FD1DB">
            <w:pPr>
              <w:pStyle w:val="316"/>
              <w:spacing w:line="360" w:lineRule="auto"/>
              <w:ind w:left="-15" w:firstLine="480"/>
              <w:rPr>
                <w:rFonts w:ascii="宋体" w:hAnsi="宋体"/>
                <w:bCs/>
                <w:sz w:val="24"/>
                <w:highlight w:val="none"/>
                <w:lang w:val="en-US" w:eastAsia="zh-CN"/>
              </w:rPr>
            </w:pPr>
          </w:p>
        </w:tc>
      </w:tr>
      <w:tr w14:paraId="00388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2312" w:type="dxa"/>
            <w:noWrap w:val="0"/>
            <w:vAlign w:val="center"/>
          </w:tcPr>
          <w:p w14:paraId="7C34FA8D">
            <w:pPr>
              <w:pStyle w:val="316"/>
              <w:spacing w:line="360" w:lineRule="auto"/>
              <w:ind w:left="0" w:leftChars="0" w:firstLine="0" w:firstLineChars="0"/>
              <w:jc w:val="center"/>
              <w:rPr>
                <w:rFonts w:ascii="宋体" w:hAnsi="宋体"/>
                <w:bCs/>
                <w:sz w:val="24"/>
                <w:highlight w:val="none"/>
                <w:lang w:val="en-US" w:eastAsia="zh-CN"/>
              </w:rPr>
            </w:pPr>
            <w:r>
              <w:rPr>
                <w:rFonts w:hint="eastAsia" w:ascii="宋体" w:hAnsi="宋体"/>
                <w:bCs/>
                <w:sz w:val="24"/>
                <w:highlight w:val="none"/>
                <w:lang w:val="en-US" w:eastAsia="zh-CN"/>
              </w:rPr>
              <w:t>职称</w:t>
            </w:r>
          </w:p>
        </w:tc>
        <w:tc>
          <w:tcPr>
            <w:tcW w:w="7270" w:type="dxa"/>
            <w:vMerge w:val="continue"/>
            <w:noWrap w:val="0"/>
            <w:vAlign w:val="center"/>
          </w:tcPr>
          <w:p w14:paraId="32984EE2">
            <w:pPr>
              <w:pStyle w:val="316"/>
              <w:spacing w:line="360" w:lineRule="auto"/>
              <w:ind w:left="-15" w:firstLine="480"/>
              <w:rPr>
                <w:rFonts w:ascii="宋体" w:hAnsi="宋体"/>
                <w:bCs/>
                <w:sz w:val="24"/>
                <w:highlight w:val="none"/>
                <w:lang w:val="en-US" w:eastAsia="zh-CN"/>
              </w:rPr>
            </w:pPr>
          </w:p>
        </w:tc>
      </w:tr>
      <w:tr w14:paraId="6BF06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2312" w:type="dxa"/>
            <w:noWrap w:val="0"/>
            <w:vAlign w:val="center"/>
          </w:tcPr>
          <w:p w14:paraId="23250773">
            <w:pPr>
              <w:pStyle w:val="316"/>
              <w:spacing w:line="360" w:lineRule="auto"/>
              <w:ind w:left="0" w:leftChars="0" w:firstLine="0" w:firstLineChars="0"/>
              <w:jc w:val="center"/>
              <w:rPr>
                <w:rFonts w:ascii="宋体" w:hAnsi="宋体"/>
                <w:bCs/>
                <w:sz w:val="24"/>
                <w:highlight w:val="none"/>
                <w:lang w:val="en-US" w:eastAsia="zh-CN"/>
              </w:rPr>
            </w:pPr>
            <w:r>
              <w:rPr>
                <w:rFonts w:hint="eastAsia" w:ascii="宋体" w:hAnsi="宋体"/>
                <w:bCs/>
                <w:sz w:val="24"/>
                <w:highlight w:val="none"/>
                <w:lang w:val="en-US" w:eastAsia="zh-CN"/>
              </w:rPr>
              <w:t>毕业时间</w:t>
            </w:r>
          </w:p>
        </w:tc>
        <w:tc>
          <w:tcPr>
            <w:tcW w:w="7270" w:type="dxa"/>
            <w:vMerge w:val="continue"/>
            <w:noWrap w:val="0"/>
            <w:vAlign w:val="center"/>
          </w:tcPr>
          <w:p w14:paraId="205ABF0B">
            <w:pPr>
              <w:pStyle w:val="316"/>
              <w:spacing w:line="360" w:lineRule="auto"/>
              <w:ind w:left="-15" w:firstLine="480"/>
              <w:rPr>
                <w:rFonts w:ascii="宋体" w:hAnsi="宋体"/>
                <w:bCs/>
                <w:sz w:val="24"/>
                <w:highlight w:val="none"/>
                <w:lang w:val="en-US" w:eastAsia="zh-CN"/>
              </w:rPr>
            </w:pPr>
          </w:p>
        </w:tc>
      </w:tr>
      <w:tr w14:paraId="03E24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2312" w:type="dxa"/>
            <w:noWrap w:val="0"/>
            <w:vAlign w:val="center"/>
          </w:tcPr>
          <w:p w14:paraId="51D097BD">
            <w:pPr>
              <w:pStyle w:val="316"/>
              <w:spacing w:line="360" w:lineRule="auto"/>
              <w:ind w:left="0" w:leftChars="0" w:firstLine="0" w:firstLineChars="0"/>
              <w:jc w:val="center"/>
              <w:rPr>
                <w:rFonts w:ascii="宋体" w:hAnsi="宋体"/>
                <w:bCs/>
                <w:sz w:val="24"/>
                <w:highlight w:val="none"/>
                <w:lang w:val="en-US" w:eastAsia="zh-CN"/>
              </w:rPr>
            </w:pPr>
            <w:r>
              <w:rPr>
                <w:rFonts w:hint="eastAsia" w:ascii="宋体" w:hAnsi="宋体"/>
                <w:bCs/>
                <w:sz w:val="24"/>
                <w:highlight w:val="none"/>
                <w:lang w:val="en-US" w:eastAsia="zh-CN"/>
              </w:rPr>
              <w:t>所学专业</w:t>
            </w:r>
          </w:p>
        </w:tc>
        <w:tc>
          <w:tcPr>
            <w:tcW w:w="7270" w:type="dxa"/>
            <w:vMerge w:val="continue"/>
            <w:noWrap w:val="0"/>
            <w:vAlign w:val="center"/>
          </w:tcPr>
          <w:p w14:paraId="00FAAA94">
            <w:pPr>
              <w:pStyle w:val="316"/>
              <w:spacing w:line="360" w:lineRule="auto"/>
              <w:ind w:left="-15" w:firstLine="480"/>
              <w:rPr>
                <w:rFonts w:ascii="宋体" w:hAnsi="宋体"/>
                <w:bCs/>
                <w:sz w:val="24"/>
                <w:highlight w:val="none"/>
                <w:lang w:val="en-US" w:eastAsia="zh-CN"/>
              </w:rPr>
            </w:pPr>
          </w:p>
        </w:tc>
      </w:tr>
      <w:tr w14:paraId="09DD9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2312" w:type="dxa"/>
            <w:noWrap w:val="0"/>
            <w:vAlign w:val="center"/>
          </w:tcPr>
          <w:p w14:paraId="21BFE619">
            <w:pPr>
              <w:pStyle w:val="316"/>
              <w:spacing w:line="360" w:lineRule="auto"/>
              <w:ind w:left="0" w:leftChars="0" w:firstLine="0" w:firstLineChars="0"/>
              <w:jc w:val="center"/>
              <w:rPr>
                <w:rFonts w:ascii="宋体" w:hAnsi="宋体"/>
                <w:bCs/>
                <w:sz w:val="24"/>
                <w:highlight w:val="none"/>
                <w:lang w:val="en-US" w:eastAsia="zh-CN"/>
              </w:rPr>
            </w:pPr>
            <w:r>
              <w:rPr>
                <w:rFonts w:hint="eastAsia" w:ascii="宋体" w:hAnsi="宋体"/>
                <w:bCs/>
                <w:sz w:val="24"/>
                <w:highlight w:val="none"/>
                <w:lang w:val="en-US" w:eastAsia="zh-CN"/>
              </w:rPr>
              <w:t>学历</w:t>
            </w:r>
          </w:p>
        </w:tc>
        <w:tc>
          <w:tcPr>
            <w:tcW w:w="7270" w:type="dxa"/>
            <w:vMerge w:val="continue"/>
            <w:noWrap w:val="0"/>
            <w:vAlign w:val="center"/>
          </w:tcPr>
          <w:p w14:paraId="0A885B3B">
            <w:pPr>
              <w:pStyle w:val="316"/>
              <w:spacing w:line="360" w:lineRule="auto"/>
              <w:ind w:left="-15" w:firstLine="480"/>
              <w:rPr>
                <w:rFonts w:ascii="宋体" w:hAnsi="宋体"/>
                <w:bCs/>
                <w:sz w:val="24"/>
                <w:highlight w:val="none"/>
                <w:lang w:val="en-US" w:eastAsia="zh-CN"/>
              </w:rPr>
            </w:pPr>
          </w:p>
        </w:tc>
      </w:tr>
      <w:tr w14:paraId="26BBD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2312" w:type="dxa"/>
            <w:noWrap w:val="0"/>
            <w:vAlign w:val="center"/>
          </w:tcPr>
          <w:p w14:paraId="1B352EF3">
            <w:pPr>
              <w:pStyle w:val="316"/>
              <w:spacing w:line="360" w:lineRule="auto"/>
              <w:ind w:left="0" w:leftChars="0" w:firstLine="0" w:firstLineChars="0"/>
              <w:jc w:val="center"/>
              <w:rPr>
                <w:rFonts w:ascii="宋体" w:hAnsi="宋体"/>
                <w:bCs/>
                <w:sz w:val="24"/>
                <w:highlight w:val="none"/>
                <w:lang w:val="en-US" w:eastAsia="zh-CN"/>
              </w:rPr>
            </w:pPr>
            <w:r>
              <w:rPr>
                <w:rFonts w:hint="eastAsia" w:ascii="宋体" w:hAnsi="宋体"/>
                <w:bCs/>
                <w:sz w:val="24"/>
                <w:highlight w:val="none"/>
                <w:lang w:val="en-US" w:eastAsia="zh-CN"/>
              </w:rPr>
              <w:t>证书名称</w:t>
            </w:r>
          </w:p>
        </w:tc>
        <w:tc>
          <w:tcPr>
            <w:tcW w:w="7270" w:type="dxa"/>
            <w:vMerge w:val="continue"/>
            <w:noWrap w:val="0"/>
            <w:vAlign w:val="center"/>
          </w:tcPr>
          <w:p w14:paraId="7EE4EB15">
            <w:pPr>
              <w:pStyle w:val="316"/>
              <w:spacing w:line="360" w:lineRule="auto"/>
              <w:ind w:left="-15" w:firstLine="480"/>
              <w:rPr>
                <w:rFonts w:ascii="宋体" w:hAnsi="宋体"/>
                <w:bCs/>
                <w:sz w:val="24"/>
                <w:highlight w:val="none"/>
                <w:lang w:val="en-US" w:eastAsia="zh-CN"/>
              </w:rPr>
            </w:pPr>
          </w:p>
        </w:tc>
      </w:tr>
      <w:tr w14:paraId="24109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2312" w:type="dxa"/>
            <w:noWrap w:val="0"/>
            <w:vAlign w:val="center"/>
          </w:tcPr>
          <w:p w14:paraId="1622D48A">
            <w:pPr>
              <w:pStyle w:val="316"/>
              <w:spacing w:line="360" w:lineRule="auto"/>
              <w:ind w:left="0" w:leftChars="0" w:firstLine="0" w:firstLineChars="0"/>
              <w:jc w:val="center"/>
              <w:rPr>
                <w:rFonts w:ascii="宋体" w:hAnsi="宋体"/>
                <w:bCs/>
                <w:sz w:val="24"/>
                <w:highlight w:val="none"/>
                <w:lang w:val="en-US" w:eastAsia="zh-CN"/>
              </w:rPr>
            </w:pPr>
            <w:r>
              <w:rPr>
                <w:rFonts w:hint="eastAsia" w:ascii="宋体" w:hAnsi="宋体"/>
                <w:bCs/>
                <w:sz w:val="24"/>
                <w:highlight w:val="none"/>
                <w:lang w:val="en-US" w:eastAsia="zh-CN"/>
              </w:rPr>
              <w:t>专业资格</w:t>
            </w:r>
          </w:p>
        </w:tc>
        <w:tc>
          <w:tcPr>
            <w:tcW w:w="7270" w:type="dxa"/>
            <w:vMerge w:val="continue"/>
            <w:noWrap w:val="0"/>
            <w:vAlign w:val="center"/>
          </w:tcPr>
          <w:p w14:paraId="16315D80">
            <w:pPr>
              <w:pStyle w:val="316"/>
              <w:spacing w:line="360" w:lineRule="auto"/>
              <w:ind w:left="-15" w:firstLine="480"/>
              <w:rPr>
                <w:rFonts w:ascii="宋体" w:hAnsi="宋体"/>
                <w:bCs/>
                <w:sz w:val="24"/>
                <w:highlight w:val="none"/>
                <w:lang w:val="en-US" w:eastAsia="zh-CN"/>
              </w:rPr>
            </w:pPr>
          </w:p>
        </w:tc>
      </w:tr>
      <w:tr w14:paraId="4AFBA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2312" w:type="dxa"/>
            <w:noWrap w:val="0"/>
            <w:vAlign w:val="center"/>
          </w:tcPr>
          <w:p w14:paraId="1B3AA2FC">
            <w:pPr>
              <w:pStyle w:val="316"/>
              <w:spacing w:line="360" w:lineRule="auto"/>
              <w:ind w:left="0" w:leftChars="0" w:firstLine="0" w:firstLineChars="0"/>
              <w:jc w:val="center"/>
              <w:rPr>
                <w:rFonts w:ascii="宋体" w:hAnsi="宋体"/>
                <w:bCs/>
                <w:sz w:val="24"/>
                <w:highlight w:val="none"/>
                <w:lang w:val="en-US" w:eastAsia="zh-CN"/>
              </w:rPr>
            </w:pPr>
            <w:r>
              <w:rPr>
                <w:rFonts w:hint="eastAsia" w:ascii="宋体" w:hAnsi="宋体"/>
                <w:bCs/>
                <w:sz w:val="24"/>
                <w:highlight w:val="none"/>
                <w:lang w:val="en-US" w:eastAsia="zh-CN"/>
              </w:rPr>
              <w:t>联系电话</w:t>
            </w:r>
          </w:p>
        </w:tc>
        <w:tc>
          <w:tcPr>
            <w:tcW w:w="7270" w:type="dxa"/>
            <w:vMerge w:val="continue"/>
            <w:noWrap w:val="0"/>
            <w:vAlign w:val="center"/>
          </w:tcPr>
          <w:p w14:paraId="5E151A7B">
            <w:pPr>
              <w:pStyle w:val="316"/>
              <w:spacing w:line="360" w:lineRule="auto"/>
              <w:ind w:left="-15" w:firstLine="480"/>
              <w:rPr>
                <w:rFonts w:ascii="宋体" w:hAnsi="宋体"/>
                <w:bCs/>
                <w:sz w:val="24"/>
                <w:highlight w:val="none"/>
                <w:lang w:val="en-US" w:eastAsia="zh-CN"/>
              </w:rPr>
            </w:pPr>
          </w:p>
        </w:tc>
      </w:tr>
      <w:tr w14:paraId="6ADDB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trPr>
        <w:tc>
          <w:tcPr>
            <w:tcW w:w="2312" w:type="dxa"/>
            <w:noWrap w:val="0"/>
            <w:vAlign w:val="center"/>
          </w:tcPr>
          <w:p w14:paraId="5A41E5DB">
            <w:pPr>
              <w:pStyle w:val="316"/>
              <w:spacing w:line="360" w:lineRule="auto"/>
              <w:ind w:left="-15" w:firstLine="0"/>
              <w:jc w:val="center"/>
              <w:rPr>
                <w:rFonts w:ascii="宋体" w:hAnsi="宋体"/>
                <w:bCs/>
                <w:sz w:val="24"/>
                <w:highlight w:val="none"/>
                <w:lang w:val="en-US" w:eastAsia="zh-CN"/>
              </w:rPr>
            </w:pPr>
            <w:r>
              <w:rPr>
                <w:rFonts w:hint="eastAsia" w:ascii="宋体" w:hAnsi="宋体"/>
                <w:bCs/>
                <w:sz w:val="24"/>
                <w:highlight w:val="none"/>
                <w:lang w:val="en-US" w:eastAsia="zh-CN"/>
              </w:rPr>
              <w:t>曾担主持过的农业项目</w:t>
            </w:r>
          </w:p>
        </w:tc>
        <w:tc>
          <w:tcPr>
            <w:tcW w:w="7270" w:type="dxa"/>
            <w:noWrap w:val="0"/>
            <w:vAlign w:val="center"/>
          </w:tcPr>
          <w:p w14:paraId="12049B37">
            <w:pPr>
              <w:pStyle w:val="316"/>
              <w:spacing w:line="360" w:lineRule="auto"/>
              <w:ind w:left="-15" w:firstLine="480"/>
              <w:rPr>
                <w:rFonts w:ascii="宋体" w:hAnsi="宋体"/>
                <w:bCs/>
                <w:sz w:val="24"/>
                <w:highlight w:val="none"/>
                <w:lang w:val="en-US" w:eastAsia="zh-CN"/>
              </w:rPr>
            </w:pPr>
          </w:p>
        </w:tc>
      </w:tr>
      <w:tr w14:paraId="2057E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trPr>
        <w:tc>
          <w:tcPr>
            <w:tcW w:w="2312" w:type="dxa"/>
            <w:noWrap w:val="0"/>
            <w:vAlign w:val="center"/>
          </w:tcPr>
          <w:p w14:paraId="0A1B5A18">
            <w:pPr>
              <w:pStyle w:val="316"/>
              <w:spacing w:line="360" w:lineRule="auto"/>
              <w:ind w:left="-15" w:firstLine="0"/>
              <w:jc w:val="center"/>
              <w:rPr>
                <w:rFonts w:hint="eastAsia" w:ascii="宋体" w:hAnsi="宋体"/>
                <w:bCs/>
                <w:sz w:val="24"/>
                <w:highlight w:val="none"/>
                <w:lang w:val="en-US" w:eastAsia="zh-CN"/>
              </w:rPr>
            </w:pPr>
            <w:r>
              <w:rPr>
                <w:rFonts w:hint="eastAsia" w:ascii="宋体" w:hAnsi="宋体" w:cs="Times New Roman"/>
                <w:b/>
                <w:bCs/>
                <w:sz w:val="24"/>
                <w:highlight w:val="none"/>
                <w:lang w:val="en-US" w:eastAsia="zh-CN"/>
              </w:rPr>
              <w:t>制定农业标准</w:t>
            </w:r>
          </w:p>
        </w:tc>
        <w:tc>
          <w:tcPr>
            <w:tcW w:w="7270" w:type="dxa"/>
            <w:noWrap w:val="0"/>
            <w:vAlign w:val="center"/>
          </w:tcPr>
          <w:p w14:paraId="20BF2DBD">
            <w:pPr>
              <w:pStyle w:val="316"/>
              <w:spacing w:line="360" w:lineRule="auto"/>
              <w:ind w:left="-15" w:firstLine="480"/>
              <w:rPr>
                <w:rFonts w:ascii="宋体" w:hAnsi="宋体"/>
                <w:bCs/>
                <w:sz w:val="24"/>
                <w:highlight w:val="none"/>
                <w:lang w:val="en-US" w:eastAsia="zh-CN"/>
              </w:rPr>
            </w:pPr>
          </w:p>
        </w:tc>
      </w:tr>
      <w:tr w14:paraId="25D42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trPr>
        <w:tc>
          <w:tcPr>
            <w:tcW w:w="2312" w:type="dxa"/>
            <w:noWrap w:val="0"/>
            <w:vAlign w:val="center"/>
          </w:tcPr>
          <w:p w14:paraId="16EFE0F9">
            <w:pPr>
              <w:pStyle w:val="316"/>
              <w:spacing w:line="360" w:lineRule="auto"/>
              <w:ind w:left="-15" w:firstLine="0"/>
              <w:jc w:val="center"/>
              <w:rPr>
                <w:rFonts w:hint="eastAsia" w:ascii="宋体" w:hAnsi="宋体"/>
                <w:bCs/>
                <w:sz w:val="24"/>
                <w:highlight w:val="none"/>
                <w:lang w:val="en-US" w:eastAsia="zh-CN"/>
              </w:rPr>
            </w:pPr>
            <w:r>
              <w:rPr>
                <w:rFonts w:hint="eastAsia" w:ascii="宋体" w:hAnsi="宋体"/>
                <w:bCs/>
                <w:sz w:val="24"/>
                <w:highlight w:val="none"/>
                <w:lang w:val="en-US" w:eastAsia="zh-CN"/>
              </w:rPr>
              <w:t>农业奖励</w:t>
            </w:r>
          </w:p>
        </w:tc>
        <w:tc>
          <w:tcPr>
            <w:tcW w:w="7270" w:type="dxa"/>
            <w:noWrap w:val="0"/>
            <w:vAlign w:val="center"/>
          </w:tcPr>
          <w:p w14:paraId="31DA3EA0">
            <w:pPr>
              <w:pStyle w:val="316"/>
              <w:spacing w:line="360" w:lineRule="auto"/>
              <w:ind w:left="-15" w:firstLine="480"/>
              <w:rPr>
                <w:rFonts w:ascii="宋体" w:hAnsi="宋体"/>
                <w:bCs/>
                <w:sz w:val="24"/>
                <w:highlight w:val="none"/>
                <w:lang w:val="en-US" w:eastAsia="zh-CN"/>
              </w:rPr>
            </w:pPr>
          </w:p>
        </w:tc>
      </w:tr>
      <w:tr w14:paraId="32DC0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1" w:hRule="atLeast"/>
        </w:trPr>
        <w:tc>
          <w:tcPr>
            <w:tcW w:w="2312" w:type="dxa"/>
            <w:noWrap w:val="0"/>
            <w:vAlign w:val="center"/>
          </w:tcPr>
          <w:p w14:paraId="77E3847E">
            <w:pPr>
              <w:pStyle w:val="316"/>
              <w:spacing w:line="360" w:lineRule="auto"/>
              <w:ind w:left="-15" w:firstLine="0"/>
              <w:jc w:val="center"/>
              <w:rPr>
                <w:rFonts w:hint="eastAsia" w:ascii="宋体" w:hAnsi="宋体"/>
                <w:bCs/>
                <w:sz w:val="24"/>
                <w:highlight w:val="none"/>
                <w:lang w:val="en-US" w:eastAsia="zh-CN"/>
              </w:rPr>
            </w:pPr>
            <w:r>
              <w:rPr>
                <w:rFonts w:hint="eastAsia" w:ascii="宋体" w:hAnsi="宋体"/>
                <w:bCs/>
                <w:sz w:val="24"/>
                <w:highlight w:val="none"/>
                <w:lang w:val="en-US" w:eastAsia="zh-CN"/>
              </w:rPr>
              <w:t>农业类论文</w:t>
            </w:r>
          </w:p>
        </w:tc>
        <w:tc>
          <w:tcPr>
            <w:tcW w:w="7270" w:type="dxa"/>
            <w:noWrap w:val="0"/>
            <w:vAlign w:val="center"/>
          </w:tcPr>
          <w:p w14:paraId="73347E6F">
            <w:pPr>
              <w:pStyle w:val="316"/>
              <w:spacing w:line="360" w:lineRule="auto"/>
              <w:ind w:left="-15" w:firstLine="480"/>
              <w:rPr>
                <w:rFonts w:ascii="宋体" w:hAnsi="宋体"/>
                <w:bCs/>
                <w:sz w:val="24"/>
                <w:highlight w:val="none"/>
                <w:lang w:val="en-US" w:eastAsia="zh-CN"/>
              </w:rPr>
            </w:pPr>
          </w:p>
        </w:tc>
      </w:tr>
      <w:tr w14:paraId="54DD8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2312" w:type="dxa"/>
            <w:noWrap w:val="0"/>
            <w:vAlign w:val="center"/>
          </w:tcPr>
          <w:p w14:paraId="0931C48C">
            <w:pPr>
              <w:spacing w:line="360" w:lineRule="auto"/>
              <w:ind w:left="-15" w:firstLine="0"/>
              <w:jc w:val="center"/>
              <w:rPr>
                <w:rFonts w:hint="eastAsia" w:ascii="宋体" w:hAnsi="宋体"/>
                <w:bCs/>
                <w:sz w:val="24"/>
                <w:highlight w:val="none"/>
                <w:lang w:val="en-US" w:eastAsia="zh-CN"/>
              </w:rPr>
            </w:pPr>
            <w:r>
              <w:rPr>
                <w:rFonts w:hint="eastAsia" w:ascii="宋体" w:hAnsi="宋体" w:eastAsia="楷体" w:cs="Times New Roman"/>
                <w:b/>
                <w:bCs/>
                <w:sz w:val="24"/>
                <w:szCs w:val="20"/>
                <w:highlight w:val="none"/>
                <w:lang w:val="en-US" w:eastAsia="zh-CN" w:bidi="ar-SA"/>
              </w:rPr>
              <w:t>农业类发明专利</w:t>
            </w:r>
          </w:p>
        </w:tc>
        <w:tc>
          <w:tcPr>
            <w:tcW w:w="7270" w:type="dxa"/>
            <w:noWrap w:val="0"/>
            <w:vAlign w:val="center"/>
          </w:tcPr>
          <w:p w14:paraId="48565028">
            <w:pPr>
              <w:spacing w:line="360" w:lineRule="auto"/>
              <w:ind w:left="-15" w:firstLine="480"/>
              <w:rPr>
                <w:rFonts w:ascii="宋体" w:hAnsi="宋体"/>
                <w:bCs/>
                <w:sz w:val="24"/>
                <w:highlight w:val="none"/>
                <w:lang w:val="en-US" w:eastAsia="zh-CN"/>
              </w:rPr>
            </w:pPr>
          </w:p>
        </w:tc>
      </w:tr>
    </w:tbl>
    <w:p w14:paraId="4F7F2C16">
      <w:pPr>
        <w:pStyle w:val="315"/>
        <w:rPr>
          <w:highlight w:val="none"/>
          <w:lang w:val="en-US" w:eastAsia="zh-CN"/>
        </w:rPr>
      </w:pPr>
    </w:p>
    <w:p w14:paraId="6A9CA9AA">
      <w:pPr>
        <w:pStyle w:val="315"/>
        <w:widowControl/>
        <w:jc w:val="left"/>
        <w:rPr>
          <w:rFonts w:ascii="宋体" w:hAnsi="宋体"/>
          <w:b/>
          <w:sz w:val="24"/>
          <w:highlight w:val="none"/>
          <w:lang w:val="en-US" w:eastAsia="zh-CN"/>
        </w:rPr>
      </w:pPr>
    </w:p>
    <w:p w14:paraId="37354958">
      <w:pPr>
        <w:pStyle w:val="316"/>
        <w:spacing w:line="360" w:lineRule="auto"/>
        <w:ind w:firstLine="482"/>
        <w:rPr>
          <w:rFonts w:ascii="宋体" w:hAnsi="宋体"/>
          <w:bCs/>
          <w:sz w:val="24"/>
          <w:highlight w:val="none"/>
          <w:u w:val="single"/>
          <w:lang w:val="en-US" w:eastAsia="zh-CN"/>
        </w:rPr>
      </w:pPr>
      <w:r>
        <w:rPr>
          <w:rFonts w:hint="eastAsia" w:ascii="宋体" w:hAnsi="宋体"/>
          <w:b w:val="0"/>
          <w:bCs/>
          <w:sz w:val="24"/>
          <w:highlight w:val="none"/>
          <w:lang w:val="en-US" w:eastAsia="zh-CN"/>
        </w:rPr>
        <w:t>注：</w:t>
      </w:r>
      <w:r>
        <w:rPr>
          <w:rFonts w:hint="eastAsia" w:ascii="宋体" w:hAnsi="宋体"/>
          <w:bCs/>
          <w:sz w:val="24"/>
          <w:highlight w:val="none"/>
          <w:lang w:val="en-US" w:eastAsia="zh-CN"/>
        </w:rPr>
        <w:t>1、</w:t>
      </w:r>
      <w:r>
        <w:rPr>
          <w:rFonts w:hint="eastAsia" w:ascii="宋体" w:hAnsi="宋体"/>
          <w:bCs/>
          <w:sz w:val="24"/>
          <w:highlight w:val="none"/>
          <w:u w:val="single"/>
          <w:lang w:val="en-US" w:eastAsia="zh-CN"/>
        </w:rPr>
        <w:t>项目负责人具有相关证书的，应在本表后</w:t>
      </w:r>
      <w:r>
        <w:rPr>
          <w:rFonts w:hint="eastAsia" w:ascii="宋体" w:hAnsi="宋体"/>
          <w:sz w:val="24"/>
          <w:highlight w:val="none"/>
          <w:u w:val="single"/>
          <w:lang w:val="en-US" w:eastAsia="zh-CN"/>
        </w:rPr>
        <w:t>提交相关证书扫描件。</w:t>
      </w:r>
    </w:p>
    <w:p w14:paraId="3776AE6D">
      <w:pPr>
        <w:pStyle w:val="316"/>
        <w:spacing w:line="360" w:lineRule="auto"/>
        <w:ind w:firstLine="480"/>
        <w:rPr>
          <w:rFonts w:ascii="宋体" w:hAnsi="宋体"/>
          <w:bCs/>
          <w:sz w:val="24"/>
          <w:highlight w:val="none"/>
          <w:u w:val="single"/>
          <w:lang w:val="en-US" w:eastAsia="zh-CN"/>
        </w:rPr>
      </w:pPr>
      <w:r>
        <w:rPr>
          <w:rFonts w:hint="eastAsia" w:ascii="宋体" w:hAnsi="宋体"/>
          <w:bCs/>
          <w:sz w:val="24"/>
          <w:highlight w:val="none"/>
          <w:lang w:val="en-US" w:eastAsia="zh-CN"/>
        </w:rPr>
        <w:t>2、</w:t>
      </w:r>
      <w:r>
        <w:rPr>
          <w:rFonts w:hint="eastAsia" w:ascii="宋体" w:hAnsi="宋体"/>
          <w:bCs/>
          <w:sz w:val="24"/>
          <w:highlight w:val="none"/>
          <w:u w:val="single"/>
          <w:lang w:val="en-US" w:eastAsia="zh-CN"/>
        </w:rPr>
        <w:t>列入本表人员如要更换，需经采购人同意。擅自更换属违约行为。</w:t>
      </w:r>
    </w:p>
    <w:p w14:paraId="2B375C8E">
      <w:pPr>
        <w:pStyle w:val="293"/>
        <w:ind w:firstLine="480"/>
        <w:jc w:val="left"/>
        <w:outlineLvl w:val="2"/>
        <w:rPr>
          <w:rFonts w:hint="eastAsia" w:ascii="宋体" w:hAnsi="宋体" w:eastAsia="宋体" w:cs="Times New Roman"/>
          <w:color w:val="000000"/>
          <w:sz w:val="24"/>
          <w:szCs w:val="22"/>
          <w:highlight w:val="none"/>
          <w:u w:val="single"/>
          <w:lang w:bidi="ar-SA"/>
        </w:rPr>
      </w:pPr>
      <w:r>
        <w:rPr>
          <w:rFonts w:hint="eastAsia" w:ascii="宋体" w:hAnsi="宋体" w:eastAsia="宋体" w:cs="Times New Roman"/>
          <w:color w:val="000000"/>
          <w:sz w:val="24"/>
          <w:szCs w:val="22"/>
          <w:highlight w:val="none"/>
          <w:u w:val="single"/>
          <w:lang w:val="en-US" w:eastAsia="zh-CN" w:bidi="ar-SA"/>
        </w:rPr>
        <w:t>3</w:t>
      </w:r>
      <w:r>
        <w:rPr>
          <w:rFonts w:hint="eastAsia" w:ascii="宋体" w:hAnsi="宋体" w:eastAsia="宋体" w:cs="Times New Roman"/>
          <w:color w:val="000000"/>
          <w:sz w:val="24"/>
          <w:szCs w:val="22"/>
          <w:highlight w:val="none"/>
          <w:u w:val="single"/>
          <w:lang w:bidi="ar-SA"/>
        </w:rPr>
        <w:t>、根据评分标准中关于</w:t>
      </w:r>
      <w:r>
        <w:rPr>
          <w:rFonts w:hint="eastAsia" w:ascii="宋体" w:hAnsi="宋体" w:eastAsia="宋体" w:cs="Times New Roman"/>
          <w:color w:val="000000"/>
          <w:sz w:val="24"/>
          <w:szCs w:val="22"/>
          <w:highlight w:val="none"/>
          <w:u w:val="single"/>
          <w:lang w:val="en-US" w:eastAsia="zh-CN" w:bidi="ar-SA"/>
        </w:rPr>
        <w:t>项目负责人</w:t>
      </w:r>
      <w:r>
        <w:rPr>
          <w:rFonts w:hint="eastAsia" w:ascii="宋体" w:hAnsi="宋体" w:eastAsia="宋体" w:cs="Times New Roman"/>
          <w:color w:val="000000"/>
          <w:sz w:val="24"/>
          <w:szCs w:val="22"/>
          <w:highlight w:val="none"/>
          <w:u w:val="single"/>
          <w:lang w:bidi="ar-SA"/>
        </w:rPr>
        <w:t>的描述，提供符合磋商文件要求的证明材料扫描件。</w:t>
      </w:r>
    </w:p>
    <w:p w14:paraId="03BC90C5">
      <w:pPr>
        <w:pStyle w:val="293"/>
        <w:ind w:firstLine="480"/>
        <w:jc w:val="left"/>
        <w:outlineLvl w:val="2"/>
        <w:rPr>
          <w:rFonts w:hint="eastAsia" w:ascii="宋体" w:hAnsi="宋体" w:eastAsia="宋体" w:cs="Times New Roman"/>
          <w:color w:val="000000"/>
          <w:sz w:val="24"/>
          <w:szCs w:val="22"/>
          <w:highlight w:val="none"/>
          <w:u w:val="single"/>
          <w:lang w:bidi="ar-SA"/>
        </w:rPr>
      </w:pPr>
      <w:r>
        <w:rPr>
          <w:rFonts w:hint="eastAsia" w:ascii="宋体" w:hAnsi="宋体" w:eastAsia="宋体" w:cs="Times New Roman"/>
          <w:color w:val="000000"/>
          <w:sz w:val="24"/>
          <w:szCs w:val="22"/>
          <w:highlight w:val="none"/>
          <w:u w:val="single"/>
          <w:lang w:val="en-US" w:eastAsia="zh-CN" w:bidi="ar-SA"/>
        </w:rPr>
        <w:t>4</w:t>
      </w:r>
      <w:r>
        <w:rPr>
          <w:rFonts w:hint="eastAsia" w:ascii="宋体" w:hAnsi="宋体" w:eastAsia="宋体" w:cs="Times New Roman"/>
          <w:color w:val="000000"/>
          <w:sz w:val="24"/>
          <w:szCs w:val="22"/>
          <w:highlight w:val="none"/>
          <w:u w:val="single"/>
          <w:lang w:bidi="ar-SA"/>
        </w:rPr>
        <w:t>、行数不够，自行添加。</w:t>
      </w:r>
    </w:p>
    <w:p w14:paraId="418E4AB9">
      <w:pPr>
        <w:pStyle w:val="295"/>
        <w:jc w:val="center"/>
        <w:outlineLvl w:val="2"/>
        <w:rPr>
          <w:highlight w:val="none"/>
        </w:rPr>
      </w:pPr>
      <w:r>
        <w:rPr>
          <w:rFonts w:hint="eastAsia" w:ascii="宋体" w:hAnsi="宋体" w:eastAsia="宋体" w:cs="宋体"/>
          <w:b/>
          <w:bCs/>
          <w:sz w:val="28"/>
          <w:highlight w:val="none"/>
          <w:lang w:val="en-US" w:eastAsia="zh-CN"/>
        </w:rPr>
        <w:t>2、</w:t>
      </w:r>
      <w:r>
        <w:rPr>
          <w:rFonts w:ascii="宋体" w:hAnsi="宋体" w:eastAsia="宋体" w:cs="宋体"/>
          <w:b/>
          <w:bCs/>
          <w:sz w:val="28"/>
          <w:highlight w:val="none"/>
        </w:rPr>
        <w:t>项目成员能力</w:t>
      </w:r>
    </w:p>
    <w:p w14:paraId="67372AE0">
      <w:pPr>
        <w:pStyle w:val="296"/>
        <w:spacing w:line="360" w:lineRule="auto"/>
        <w:ind w:firstLine="482"/>
        <w:jc w:val="center"/>
        <w:rPr>
          <w:rFonts w:ascii="宋体" w:hAnsi="宋体"/>
          <w:b/>
          <w:color w:val="000000"/>
          <w:sz w:val="24"/>
          <w:szCs w:val="20"/>
          <w:highlight w:val="none"/>
        </w:rPr>
      </w:pPr>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8"/>
        <w:gridCol w:w="910"/>
        <w:gridCol w:w="1562"/>
        <w:gridCol w:w="1429"/>
        <w:gridCol w:w="1558"/>
        <w:gridCol w:w="1741"/>
        <w:gridCol w:w="1514"/>
      </w:tblGrid>
      <w:tr w14:paraId="19FFC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410" w:type="dxa"/>
            <w:noWrap w:val="0"/>
            <w:vAlign w:val="top"/>
          </w:tcPr>
          <w:p w14:paraId="6005587E">
            <w:pPr>
              <w:pStyle w:val="296"/>
              <w:spacing w:line="360" w:lineRule="auto"/>
              <w:jc w:val="center"/>
              <w:rPr>
                <w:rFonts w:ascii="宋体" w:hAnsi="宋体"/>
                <w:b/>
                <w:color w:val="000000"/>
                <w:sz w:val="24"/>
                <w:highlight w:val="none"/>
              </w:rPr>
            </w:pPr>
            <w:r>
              <w:rPr>
                <w:rFonts w:hint="eastAsia" w:ascii="宋体" w:hAnsi="宋体"/>
                <w:b/>
                <w:color w:val="000000"/>
                <w:sz w:val="24"/>
                <w:highlight w:val="none"/>
              </w:rPr>
              <w:t>序号</w:t>
            </w:r>
          </w:p>
        </w:tc>
        <w:tc>
          <w:tcPr>
            <w:tcW w:w="479" w:type="dxa"/>
            <w:noWrap w:val="0"/>
            <w:vAlign w:val="top"/>
          </w:tcPr>
          <w:p w14:paraId="5C2E8090">
            <w:pPr>
              <w:pStyle w:val="296"/>
              <w:spacing w:line="360" w:lineRule="auto"/>
              <w:jc w:val="center"/>
              <w:rPr>
                <w:rFonts w:ascii="宋体" w:hAnsi="宋体"/>
                <w:b/>
                <w:color w:val="000000"/>
                <w:sz w:val="24"/>
                <w:highlight w:val="none"/>
              </w:rPr>
            </w:pPr>
            <w:r>
              <w:rPr>
                <w:rFonts w:hint="eastAsia" w:ascii="宋体" w:hAnsi="宋体"/>
                <w:b/>
                <w:color w:val="000000"/>
                <w:sz w:val="24"/>
                <w:highlight w:val="none"/>
              </w:rPr>
              <w:t>姓名</w:t>
            </w:r>
          </w:p>
        </w:tc>
        <w:tc>
          <w:tcPr>
            <w:tcW w:w="822" w:type="dxa"/>
            <w:noWrap w:val="0"/>
            <w:vAlign w:val="top"/>
          </w:tcPr>
          <w:p w14:paraId="10B72A63">
            <w:pPr>
              <w:pStyle w:val="296"/>
              <w:spacing w:line="360" w:lineRule="auto"/>
              <w:jc w:val="center"/>
              <w:rPr>
                <w:rFonts w:ascii="宋体" w:hAnsi="宋体"/>
                <w:b/>
                <w:color w:val="000000"/>
                <w:sz w:val="24"/>
                <w:highlight w:val="none"/>
              </w:rPr>
            </w:pPr>
            <w:r>
              <w:rPr>
                <w:rFonts w:hint="eastAsia" w:ascii="宋体" w:hAnsi="宋体"/>
                <w:b/>
                <w:color w:val="000000"/>
                <w:sz w:val="24"/>
                <w:highlight w:val="none"/>
              </w:rPr>
              <w:t>身份证号</w:t>
            </w:r>
          </w:p>
        </w:tc>
        <w:tc>
          <w:tcPr>
            <w:tcW w:w="752" w:type="dxa"/>
            <w:noWrap w:val="0"/>
            <w:vAlign w:val="top"/>
          </w:tcPr>
          <w:p w14:paraId="2CEBC31C">
            <w:pPr>
              <w:pStyle w:val="296"/>
              <w:spacing w:line="360" w:lineRule="auto"/>
              <w:jc w:val="center"/>
              <w:rPr>
                <w:rFonts w:ascii="宋体" w:hAnsi="宋体"/>
                <w:b/>
                <w:color w:val="000000"/>
                <w:sz w:val="24"/>
                <w:highlight w:val="none"/>
              </w:rPr>
            </w:pPr>
            <w:r>
              <w:rPr>
                <w:rFonts w:hint="eastAsia" w:ascii="宋体" w:hAnsi="宋体"/>
                <w:b/>
                <w:color w:val="000000"/>
                <w:sz w:val="24"/>
                <w:highlight w:val="none"/>
              </w:rPr>
              <w:t>人员类别</w:t>
            </w:r>
          </w:p>
        </w:tc>
        <w:tc>
          <w:tcPr>
            <w:tcW w:w="820" w:type="dxa"/>
            <w:noWrap w:val="0"/>
            <w:vAlign w:val="top"/>
          </w:tcPr>
          <w:p w14:paraId="1947207D">
            <w:pPr>
              <w:pStyle w:val="296"/>
              <w:spacing w:line="360" w:lineRule="auto"/>
              <w:jc w:val="center"/>
              <w:rPr>
                <w:rFonts w:hint="eastAsia" w:ascii="宋体" w:hAnsi="宋体" w:eastAsia="宋体"/>
                <w:b/>
                <w:color w:val="000000"/>
                <w:sz w:val="24"/>
                <w:highlight w:val="none"/>
                <w:lang w:eastAsia="zh-CN"/>
              </w:rPr>
            </w:pPr>
            <w:r>
              <w:rPr>
                <w:rFonts w:hint="eastAsia" w:ascii="宋体" w:hAnsi="宋体"/>
                <w:b/>
                <w:color w:val="000000"/>
                <w:sz w:val="24"/>
                <w:highlight w:val="none"/>
                <w:lang w:val="en-US" w:eastAsia="zh-CN"/>
              </w:rPr>
              <w:t>职称</w:t>
            </w:r>
          </w:p>
        </w:tc>
        <w:tc>
          <w:tcPr>
            <w:tcW w:w="916" w:type="dxa"/>
            <w:noWrap w:val="0"/>
            <w:vAlign w:val="top"/>
          </w:tcPr>
          <w:p w14:paraId="01EC0B89">
            <w:pPr>
              <w:pStyle w:val="296"/>
              <w:spacing w:line="360" w:lineRule="auto"/>
              <w:jc w:val="center"/>
              <w:rPr>
                <w:rFonts w:ascii="宋体" w:hAnsi="宋体"/>
                <w:b/>
                <w:color w:val="000000"/>
                <w:sz w:val="24"/>
                <w:highlight w:val="none"/>
              </w:rPr>
            </w:pPr>
            <w:r>
              <w:rPr>
                <w:rFonts w:hint="eastAsia" w:ascii="宋体" w:hAnsi="宋体"/>
                <w:b/>
                <w:color w:val="000000"/>
                <w:sz w:val="24"/>
                <w:highlight w:val="none"/>
              </w:rPr>
              <w:t>相关工作经验</w:t>
            </w:r>
          </w:p>
        </w:tc>
        <w:tc>
          <w:tcPr>
            <w:tcW w:w="796" w:type="dxa"/>
            <w:noWrap w:val="0"/>
            <w:vAlign w:val="top"/>
          </w:tcPr>
          <w:p w14:paraId="6B0C7196">
            <w:pPr>
              <w:pStyle w:val="296"/>
              <w:spacing w:line="360" w:lineRule="auto"/>
              <w:jc w:val="center"/>
              <w:rPr>
                <w:rFonts w:ascii="宋体" w:hAnsi="宋体"/>
                <w:b/>
                <w:color w:val="000000"/>
                <w:sz w:val="24"/>
                <w:highlight w:val="none"/>
              </w:rPr>
            </w:pPr>
            <w:r>
              <w:rPr>
                <w:rFonts w:hint="eastAsia" w:ascii="宋体" w:hAnsi="宋体"/>
                <w:b/>
                <w:color w:val="000000"/>
                <w:sz w:val="24"/>
                <w:highlight w:val="none"/>
              </w:rPr>
              <w:t>农业类论文</w:t>
            </w:r>
          </w:p>
        </w:tc>
      </w:tr>
      <w:tr w14:paraId="17276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 w:type="dxa"/>
            <w:noWrap w:val="0"/>
            <w:vAlign w:val="top"/>
          </w:tcPr>
          <w:p w14:paraId="38401CBE">
            <w:pPr>
              <w:pStyle w:val="296"/>
              <w:spacing w:line="360" w:lineRule="auto"/>
              <w:rPr>
                <w:rFonts w:ascii="宋体" w:hAnsi="宋体"/>
                <w:b/>
                <w:color w:val="000000"/>
                <w:sz w:val="24"/>
                <w:highlight w:val="none"/>
              </w:rPr>
            </w:pPr>
          </w:p>
        </w:tc>
        <w:tc>
          <w:tcPr>
            <w:tcW w:w="479" w:type="dxa"/>
            <w:noWrap w:val="0"/>
            <w:vAlign w:val="top"/>
          </w:tcPr>
          <w:p w14:paraId="7FE41F7B">
            <w:pPr>
              <w:pStyle w:val="296"/>
              <w:spacing w:line="360" w:lineRule="auto"/>
              <w:rPr>
                <w:rFonts w:ascii="宋体" w:hAnsi="宋体"/>
                <w:b/>
                <w:color w:val="000000"/>
                <w:sz w:val="24"/>
                <w:highlight w:val="none"/>
              </w:rPr>
            </w:pPr>
          </w:p>
        </w:tc>
        <w:tc>
          <w:tcPr>
            <w:tcW w:w="822" w:type="dxa"/>
            <w:noWrap w:val="0"/>
            <w:vAlign w:val="top"/>
          </w:tcPr>
          <w:p w14:paraId="6839D27C">
            <w:pPr>
              <w:pStyle w:val="296"/>
              <w:spacing w:line="360" w:lineRule="auto"/>
              <w:rPr>
                <w:rFonts w:ascii="宋体" w:hAnsi="宋体"/>
                <w:b/>
                <w:color w:val="000000"/>
                <w:sz w:val="24"/>
                <w:highlight w:val="none"/>
              </w:rPr>
            </w:pPr>
          </w:p>
        </w:tc>
        <w:tc>
          <w:tcPr>
            <w:tcW w:w="752" w:type="dxa"/>
            <w:noWrap w:val="0"/>
            <w:vAlign w:val="top"/>
          </w:tcPr>
          <w:p w14:paraId="7348D262">
            <w:pPr>
              <w:pStyle w:val="296"/>
              <w:spacing w:line="360" w:lineRule="auto"/>
              <w:rPr>
                <w:rFonts w:ascii="宋体" w:hAnsi="宋体"/>
                <w:b/>
                <w:color w:val="000000"/>
                <w:sz w:val="24"/>
                <w:highlight w:val="none"/>
              </w:rPr>
            </w:pPr>
          </w:p>
        </w:tc>
        <w:tc>
          <w:tcPr>
            <w:tcW w:w="820" w:type="dxa"/>
            <w:noWrap w:val="0"/>
            <w:vAlign w:val="top"/>
          </w:tcPr>
          <w:p w14:paraId="2D46754F">
            <w:pPr>
              <w:pStyle w:val="296"/>
              <w:spacing w:line="360" w:lineRule="auto"/>
              <w:rPr>
                <w:rFonts w:ascii="宋体" w:hAnsi="宋体"/>
                <w:b/>
                <w:color w:val="000000"/>
                <w:sz w:val="24"/>
                <w:highlight w:val="none"/>
              </w:rPr>
            </w:pPr>
          </w:p>
        </w:tc>
        <w:tc>
          <w:tcPr>
            <w:tcW w:w="916" w:type="dxa"/>
            <w:noWrap w:val="0"/>
            <w:vAlign w:val="top"/>
          </w:tcPr>
          <w:p w14:paraId="3ADCF1F6">
            <w:pPr>
              <w:pStyle w:val="296"/>
              <w:spacing w:line="360" w:lineRule="auto"/>
              <w:rPr>
                <w:rFonts w:ascii="宋体" w:hAnsi="宋体"/>
                <w:b/>
                <w:color w:val="000000"/>
                <w:sz w:val="24"/>
                <w:highlight w:val="none"/>
              </w:rPr>
            </w:pPr>
          </w:p>
        </w:tc>
        <w:tc>
          <w:tcPr>
            <w:tcW w:w="796" w:type="dxa"/>
            <w:noWrap w:val="0"/>
            <w:vAlign w:val="top"/>
          </w:tcPr>
          <w:p w14:paraId="3C90F657">
            <w:pPr>
              <w:pStyle w:val="296"/>
              <w:spacing w:line="360" w:lineRule="auto"/>
              <w:rPr>
                <w:rFonts w:ascii="宋体" w:hAnsi="宋体"/>
                <w:b/>
                <w:color w:val="000000"/>
                <w:sz w:val="24"/>
                <w:highlight w:val="none"/>
              </w:rPr>
            </w:pPr>
          </w:p>
        </w:tc>
      </w:tr>
      <w:tr w14:paraId="6DFFB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 w:type="dxa"/>
            <w:noWrap w:val="0"/>
            <w:vAlign w:val="top"/>
          </w:tcPr>
          <w:p w14:paraId="6ACD7F2C">
            <w:pPr>
              <w:pStyle w:val="296"/>
              <w:spacing w:line="360" w:lineRule="auto"/>
              <w:rPr>
                <w:rFonts w:ascii="宋体" w:hAnsi="宋体"/>
                <w:b/>
                <w:color w:val="000000"/>
                <w:sz w:val="24"/>
                <w:highlight w:val="none"/>
              </w:rPr>
            </w:pPr>
          </w:p>
        </w:tc>
        <w:tc>
          <w:tcPr>
            <w:tcW w:w="479" w:type="dxa"/>
            <w:noWrap w:val="0"/>
            <w:vAlign w:val="top"/>
          </w:tcPr>
          <w:p w14:paraId="1C03544B">
            <w:pPr>
              <w:pStyle w:val="296"/>
              <w:spacing w:line="360" w:lineRule="auto"/>
              <w:rPr>
                <w:rFonts w:ascii="宋体" w:hAnsi="宋体"/>
                <w:b/>
                <w:color w:val="000000"/>
                <w:sz w:val="24"/>
                <w:highlight w:val="none"/>
              </w:rPr>
            </w:pPr>
          </w:p>
        </w:tc>
        <w:tc>
          <w:tcPr>
            <w:tcW w:w="822" w:type="dxa"/>
            <w:noWrap w:val="0"/>
            <w:vAlign w:val="top"/>
          </w:tcPr>
          <w:p w14:paraId="35EC901F">
            <w:pPr>
              <w:pStyle w:val="296"/>
              <w:spacing w:line="360" w:lineRule="auto"/>
              <w:rPr>
                <w:rFonts w:ascii="宋体" w:hAnsi="宋体"/>
                <w:b/>
                <w:color w:val="000000"/>
                <w:sz w:val="24"/>
                <w:highlight w:val="none"/>
              </w:rPr>
            </w:pPr>
          </w:p>
        </w:tc>
        <w:tc>
          <w:tcPr>
            <w:tcW w:w="752" w:type="dxa"/>
            <w:noWrap w:val="0"/>
            <w:vAlign w:val="top"/>
          </w:tcPr>
          <w:p w14:paraId="240E8F62">
            <w:pPr>
              <w:pStyle w:val="296"/>
              <w:spacing w:line="360" w:lineRule="auto"/>
              <w:rPr>
                <w:rFonts w:ascii="宋体" w:hAnsi="宋体"/>
                <w:b/>
                <w:color w:val="000000"/>
                <w:sz w:val="24"/>
                <w:highlight w:val="none"/>
              </w:rPr>
            </w:pPr>
          </w:p>
        </w:tc>
        <w:tc>
          <w:tcPr>
            <w:tcW w:w="820" w:type="dxa"/>
            <w:noWrap w:val="0"/>
            <w:vAlign w:val="top"/>
          </w:tcPr>
          <w:p w14:paraId="5F84A7E0">
            <w:pPr>
              <w:pStyle w:val="296"/>
              <w:spacing w:line="360" w:lineRule="auto"/>
              <w:rPr>
                <w:rFonts w:ascii="宋体" w:hAnsi="宋体"/>
                <w:b/>
                <w:color w:val="000000"/>
                <w:sz w:val="24"/>
                <w:highlight w:val="none"/>
              </w:rPr>
            </w:pPr>
          </w:p>
        </w:tc>
        <w:tc>
          <w:tcPr>
            <w:tcW w:w="916" w:type="dxa"/>
            <w:noWrap w:val="0"/>
            <w:vAlign w:val="top"/>
          </w:tcPr>
          <w:p w14:paraId="5B35C303">
            <w:pPr>
              <w:pStyle w:val="296"/>
              <w:spacing w:line="360" w:lineRule="auto"/>
              <w:rPr>
                <w:rFonts w:ascii="宋体" w:hAnsi="宋体"/>
                <w:b/>
                <w:color w:val="000000"/>
                <w:sz w:val="24"/>
                <w:highlight w:val="none"/>
              </w:rPr>
            </w:pPr>
          </w:p>
        </w:tc>
        <w:tc>
          <w:tcPr>
            <w:tcW w:w="796" w:type="dxa"/>
            <w:noWrap w:val="0"/>
            <w:vAlign w:val="top"/>
          </w:tcPr>
          <w:p w14:paraId="33A71161">
            <w:pPr>
              <w:pStyle w:val="296"/>
              <w:spacing w:line="360" w:lineRule="auto"/>
              <w:rPr>
                <w:rFonts w:ascii="宋体" w:hAnsi="宋体"/>
                <w:b/>
                <w:color w:val="000000"/>
                <w:sz w:val="24"/>
                <w:highlight w:val="none"/>
              </w:rPr>
            </w:pPr>
          </w:p>
        </w:tc>
      </w:tr>
      <w:tr w14:paraId="1ADA6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 w:type="dxa"/>
            <w:noWrap w:val="0"/>
            <w:vAlign w:val="top"/>
          </w:tcPr>
          <w:p w14:paraId="4157BDF2">
            <w:pPr>
              <w:pStyle w:val="296"/>
              <w:spacing w:line="360" w:lineRule="auto"/>
              <w:rPr>
                <w:rFonts w:ascii="宋体" w:hAnsi="宋体"/>
                <w:b/>
                <w:color w:val="000000"/>
                <w:sz w:val="24"/>
                <w:highlight w:val="none"/>
              </w:rPr>
            </w:pPr>
          </w:p>
        </w:tc>
        <w:tc>
          <w:tcPr>
            <w:tcW w:w="479" w:type="dxa"/>
            <w:noWrap w:val="0"/>
            <w:vAlign w:val="top"/>
          </w:tcPr>
          <w:p w14:paraId="33919E66">
            <w:pPr>
              <w:pStyle w:val="296"/>
              <w:spacing w:line="360" w:lineRule="auto"/>
              <w:rPr>
                <w:rFonts w:ascii="宋体" w:hAnsi="宋体"/>
                <w:b/>
                <w:color w:val="000000"/>
                <w:sz w:val="24"/>
                <w:highlight w:val="none"/>
              </w:rPr>
            </w:pPr>
          </w:p>
        </w:tc>
        <w:tc>
          <w:tcPr>
            <w:tcW w:w="822" w:type="dxa"/>
            <w:noWrap w:val="0"/>
            <w:vAlign w:val="top"/>
          </w:tcPr>
          <w:p w14:paraId="260903AB">
            <w:pPr>
              <w:pStyle w:val="296"/>
              <w:spacing w:line="360" w:lineRule="auto"/>
              <w:rPr>
                <w:rFonts w:ascii="宋体" w:hAnsi="宋体"/>
                <w:b/>
                <w:color w:val="000000"/>
                <w:sz w:val="24"/>
                <w:highlight w:val="none"/>
              </w:rPr>
            </w:pPr>
          </w:p>
        </w:tc>
        <w:tc>
          <w:tcPr>
            <w:tcW w:w="752" w:type="dxa"/>
            <w:noWrap w:val="0"/>
            <w:vAlign w:val="top"/>
          </w:tcPr>
          <w:p w14:paraId="23EC22A9">
            <w:pPr>
              <w:pStyle w:val="296"/>
              <w:spacing w:line="360" w:lineRule="auto"/>
              <w:rPr>
                <w:rFonts w:ascii="宋体" w:hAnsi="宋体"/>
                <w:b/>
                <w:color w:val="000000"/>
                <w:sz w:val="24"/>
                <w:highlight w:val="none"/>
              </w:rPr>
            </w:pPr>
          </w:p>
        </w:tc>
        <w:tc>
          <w:tcPr>
            <w:tcW w:w="820" w:type="dxa"/>
            <w:noWrap w:val="0"/>
            <w:vAlign w:val="top"/>
          </w:tcPr>
          <w:p w14:paraId="684F473B">
            <w:pPr>
              <w:pStyle w:val="296"/>
              <w:spacing w:line="360" w:lineRule="auto"/>
              <w:rPr>
                <w:rFonts w:ascii="宋体" w:hAnsi="宋体"/>
                <w:b/>
                <w:color w:val="000000"/>
                <w:sz w:val="24"/>
                <w:highlight w:val="none"/>
              </w:rPr>
            </w:pPr>
          </w:p>
        </w:tc>
        <w:tc>
          <w:tcPr>
            <w:tcW w:w="916" w:type="dxa"/>
            <w:noWrap w:val="0"/>
            <w:vAlign w:val="top"/>
          </w:tcPr>
          <w:p w14:paraId="636FEA3E">
            <w:pPr>
              <w:pStyle w:val="296"/>
              <w:spacing w:line="360" w:lineRule="auto"/>
              <w:rPr>
                <w:rFonts w:ascii="宋体" w:hAnsi="宋体"/>
                <w:b/>
                <w:color w:val="000000"/>
                <w:sz w:val="24"/>
                <w:highlight w:val="none"/>
              </w:rPr>
            </w:pPr>
          </w:p>
        </w:tc>
        <w:tc>
          <w:tcPr>
            <w:tcW w:w="796" w:type="dxa"/>
            <w:noWrap w:val="0"/>
            <w:vAlign w:val="top"/>
          </w:tcPr>
          <w:p w14:paraId="7465C46F">
            <w:pPr>
              <w:pStyle w:val="296"/>
              <w:spacing w:line="360" w:lineRule="auto"/>
              <w:rPr>
                <w:rFonts w:ascii="宋体" w:hAnsi="宋体"/>
                <w:b/>
                <w:color w:val="000000"/>
                <w:sz w:val="24"/>
                <w:highlight w:val="none"/>
              </w:rPr>
            </w:pPr>
          </w:p>
        </w:tc>
      </w:tr>
      <w:tr w14:paraId="32AC2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 w:type="dxa"/>
            <w:noWrap w:val="0"/>
            <w:vAlign w:val="top"/>
          </w:tcPr>
          <w:p w14:paraId="6AF31801">
            <w:pPr>
              <w:pStyle w:val="296"/>
              <w:spacing w:line="360" w:lineRule="auto"/>
              <w:rPr>
                <w:rFonts w:ascii="宋体" w:hAnsi="宋体"/>
                <w:b/>
                <w:color w:val="000000"/>
                <w:sz w:val="18"/>
                <w:szCs w:val="18"/>
                <w:highlight w:val="none"/>
              </w:rPr>
            </w:pPr>
          </w:p>
        </w:tc>
        <w:tc>
          <w:tcPr>
            <w:tcW w:w="479" w:type="dxa"/>
            <w:noWrap w:val="0"/>
            <w:vAlign w:val="top"/>
          </w:tcPr>
          <w:p w14:paraId="5CC32B2F">
            <w:pPr>
              <w:pStyle w:val="296"/>
              <w:spacing w:line="360" w:lineRule="auto"/>
              <w:rPr>
                <w:rFonts w:ascii="宋体" w:hAnsi="宋体"/>
                <w:b/>
                <w:color w:val="000000"/>
                <w:sz w:val="24"/>
                <w:highlight w:val="none"/>
              </w:rPr>
            </w:pPr>
          </w:p>
        </w:tc>
        <w:tc>
          <w:tcPr>
            <w:tcW w:w="822" w:type="dxa"/>
            <w:noWrap w:val="0"/>
            <w:vAlign w:val="top"/>
          </w:tcPr>
          <w:p w14:paraId="11E96565">
            <w:pPr>
              <w:pStyle w:val="296"/>
              <w:spacing w:line="360" w:lineRule="auto"/>
              <w:rPr>
                <w:rFonts w:ascii="宋体" w:hAnsi="宋体"/>
                <w:b/>
                <w:color w:val="000000"/>
                <w:sz w:val="24"/>
                <w:highlight w:val="none"/>
              </w:rPr>
            </w:pPr>
          </w:p>
        </w:tc>
        <w:tc>
          <w:tcPr>
            <w:tcW w:w="752" w:type="dxa"/>
            <w:noWrap w:val="0"/>
            <w:vAlign w:val="top"/>
          </w:tcPr>
          <w:p w14:paraId="77E2012B">
            <w:pPr>
              <w:pStyle w:val="296"/>
              <w:spacing w:line="360" w:lineRule="auto"/>
              <w:rPr>
                <w:rFonts w:ascii="宋体" w:hAnsi="宋体"/>
                <w:b/>
                <w:color w:val="000000"/>
                <w:sz w:val="24"/>
                <w:highlight w:val="none"/>
              </w:rPr>
            </w:pPr>
          </w:p>
        </w:tc>
        <w:tc>
          <w:tcPr>
            <w:tcW w:w="820" w:type="dxa"/>
            <w:noWrap w:val="0"/>
            <w:vAlign w:val="top"/>
          </w:tcPr>
          <w:p w14:paraId="5E60139E">
            <w:pPr>
              <w:pStyle w:val="296"/>
              <w:spacing w:line="360" w:lineRule="auto"/>
              <w:rPr>
                <w:rFonts w:ascii="宋体" w:hAnsi="宋体"/>
                <w:b/>
                <w:color w:val="000000"/>
                <w:sz w:val="24"/>
                <w:highlight w:val="none"/>
              </w:rPr>
            </w:pPr>
          </w:p>
        </w:tc>
        <w:tc>
          <w:tcPr>
            <w:tcW w:w="916" w:type="dxa"/>
            <w:noWrap w:val="0"/>
            <w:vAlign w:val="top"/>
          </w:tcPr>
          <w:p w14:paraId="46B77ECF">
            <w:pPr>
              <w:pStyle w:val="296"/>
              <w:spacing w:line="360" w:lineRule="auto"/>
              <w:rPr>
                <w:rFonts w:ascii="宋体" w:hAnsi="宋体"/>
                <w:b/>
                <w:color w:val="000000"/>
                <w:sz w:val="24"/>
                <w:highlight w:val="none"/>
              </w:rPr>
            </w:pPr>
          </w:p>
        </w:tc>
        <w:tc>
          <w:tcPr>
            <w:tcW w:w="796" w:type="dxa"/>
            <w:noWrap w:val="0"/>
            <w:vAlign w:val="top"/>
          </w:tcPr>
          <w:p w14:paraId="3F9AE5DC">
            <w:pPr>
              <w:pStyle w:val="296"/>
              <w:spacing w:line="360" w:lineRule="auto"/>
              <w:rPr>
                <w:rFonts w:ascii="宋体" w:hAnsi="宋体"/>
                <w:b/>
                <w:color w:val="000000"/>
                <w:sz w:val="24"/>
                <w:highlight w:val="none"/>
              </w:rPr>
            </w:pPr>
          </w:p>
        </w:tc>
      </w:tr>
      <w:tr w14:paraId="597D9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 w:type="dxa"/>
            <w:noWrap w:val="0"/>
            <w:vAlign w:val="top"/>
          </w:tcPr>
          <w:p w14:paraId="243A5FBE">
            <w:pPr>
              <w:pStyle w:val="296"/>
              <w:spacing w:line="360" w:lineRule="auto"/>
              <w:rPr>
                <w:rFonts w:ascii="宋体" w:hAnsi="宋体"/>
                <w:b/>
                <w:color w:val="000000"/>
                <w:sz w:val="24"/>
                <w:highlight w:val="none"/>
              </w:rPr>
            </w:pPr>
          </w:p>
        </w:tc>
        <w:tc>
          <w:tcPr>
            <w:tcW w:w="479" w:type="dxa"/>
            <w:noWrap w:val="0"/>
            <w:vAlign w:val="top"/>
          </w:tcPr>
          <w:p w14:paraId="33D575FC">
            <w:pPr>
              <w:pStyle w:val="296"/>
              <w:spacing w:line="360" w:lineRule="auto"/>
              <w:rPr>
                <w:rFonts w:ascii="宋体" w:hAnsi="宋体"/>
                <w:b/>
                <w:color w:val="000000"/>
                <w:sz w:val="24"/>
                <w:highlight w:val="none"/>
              </w:rPr>
            </w:pPr>
          </w:p>
        </w:tc>
        <w:tc>
          <w:tcPr>
            <w:tcW w:w="822" w:type="dxa"/>
            <w:noWrap w:val="0"/>
            <w:vAlign w:val="top"/>
          </w:tcPr>
          <w:p w14:paraId="159DE26C">
            <w:pPr>
              <w:pStyle w:val="296"/>
              <w:spacing w:line="360" w:lineRule="auto"/>
              <w:rPr>
                <w:rFonts w:ascii="宋体" w:hAnsi="宋体"/>
                <w:b/>
                <w:color w:val="000000"/>
                <w:sz w:val="24"/>
                <w:highlight w:val="none"/>
              </w:rPr>
            </w:pPr>
          </w:p>
        </w:tc>
        <w:tc>
          <w:tcPr>
            <w:tcW w:w="752" w:type="dxa"/>
            <w:noWrap w:val="0"/>
            <w:vAlign w:val="top"/>
          </w:tcPr>
          <w:p w14:paraId="796632EE">
            <w:pPr>
              <w:pStyle w:val="296"/>
              <w:spacing w:line="360" w:lineRule="auto"/>
              <w:rPr>
                <w:rFonts w:ascii="宋体" w:hAnsi="宋体"/>
                <w:b/>
                <w:color w:val="000000"/>
                <w:sz w:val="24"/>
                <w:highlight w:val="none"/>
              </w:rPr>
            </w:pPr>
          </w:p>
        </w:tc>
        <w:tc>
          <w:tcPr>
            <w:tcW w:w="820" w:type="dxa"/>
            <w:noWrap w:val="0"/>
            <w:vAlign w:val="top"/>
          </w:tcPr>
          <w:p w14:paraId="4372318E">
            <w:pPr>
              <w:pStyle w:val="296"/>
              <w:spacing w:line="360" w:lineRule="auto"/>
              <w:rPr>
                <w:rFonts w:ascii="宋体" w:hAnsi="宋体"/>
                <w:b/>
                <w:color w:val="000000"/>
                <w:sz w:val="24"/>
                <w:highlight w:val="none"/>
              </w:rPr>
            </w:pPr>
          </w:p>
        </w:tc>
        <w:tc>
          <w:tcPr>
            <w:tcW w:w="916" w:type="dxa"/>
            <w:noWrap w:val="0"/>
            <w:vAlign w:val="top"/>
          </w:tcPr>
          <w:p w14:paraId="2669E2F4">
            <w:pPr>
              <w:pStyle w:val="296"/>
              <w:spacing w:line="360" w:lineRule="auto"/>
              <w:rPr>
                <w:rFonts w:ascii="宋体" w:hAnsi="宋体"/>
                <w:b/>
                <w:color w:val="000000"/>
                <w:sz w:val="24"/>
                <w:highlight w:val="none"/>
              </w:rPr>
            </w:pPr>
          </w:p>
        </w:tc>
        <w:tc>
          <w:tcPr>
            <w:tcW w:w="796" w:type="dxa"/>
            <w:noWrap w:val="0"/>
            <w:vAlign w:val="top"/>
          </w:tcPr>
          <w:p w14:paraId="51364DF2">
            <w:pPr>
              <w:pStyle w:val="296"/>
              <w:spacing w:line="360" w:lineRule="auto"/>
              <w:rPr>
                <w:rFonts w:ascii="宋体" w:hAnsi="宋体"/>
                <w:b/>
                <w:color w:val="000000"/>
                <w:sz w:val="24"/>
                <w:highlight w:val="none"/>
              </w:rPr>
            </w:pPr>
          </w:p>
        </w:tc>
      </w:tr>
      <w:tr w14:paraId="7BB60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0" w:type="dxa"/>
            <w:noWrap w:val="0"/>
            <w:vAlign w:val="top"/>
          </w:tcPr>
          <w:p w14:paraId="64089334">
            <w:pPr>
              <w:pStyle w:val="296"/>
              <w:spacing w:line="360" w:lineRule="auto"/>
              <w:rPr>
                <w:rFonts w:ascii="宋体" w:hAnsi="宋体"/>
                <w:b/>
                <w:color w:val="000000"/>
                <w:sz w:val="24"/>
                <w:highlight w:val="none"/>
              </w:rPr>
            </w:pPr>
          </w:p>
        </w:tc>
        <w:tc>
          <w:tcPr>
            <w:tcW w:w="479" w:type="dxa"/>
            <w:noWrap w:val="0"/>
            <w:vAlign w:val="top"/>
          </w:tcPr>
          <w:p w14:paraId="462061B3">
            <w:pPr>
              <w:pStyle w:val="296"/>
              <w:spacing w:line="360" w:lineRule="auto"/>
              <w:rPr>
                <w:rFonts w:ascii="宋体" w:hAnsi="宋体"/>
                <w:b/>
                <w:color w:val="000000"/>
                <w:sz w:val="24"/>
                <w:highlight w:val="none"/>
              </w:rPr>
            </w:pPr>
          </w:p>
        </w:tc>
        <w:tc>
          <w:tcPr>
            <w:tcW w:w="822" w:type="dxa"/>
            <w:noWrap w:val="0"/>
            <w:vAlign w:val="top"/>
          </w:tcPr>
          <w:p w14:paraId="0F2E813E">
            <w:pPr>
              <w:pStyle w:val="296"/>
              <w:spacing w:line="360" w:lineRule="auto"/>
              <w:rPr>
                <w:rFonts w:ascii="宋体" w:hAnsi="宋体"/>
                <w:b/>
                <w:color w:val="000000"/>
                <w:sz w:val="24"/>
                <w:highlight w:val="none"/>
              </w:rPr>
            </w:pPr>
          </w:p>
        </w:tc>
        <w:tc>
          <w:tcPr>
            <w:tcW w:w="752" w:type="dxa"/>
            <w:noWrap w:val="0"/>
            <w:vAlign w:val="top"/>
          </w:tcPr>
          <w:p w14:paraId="2DBDEB1B">
            <w:pPr>
              <w:pStyle w:val="296"/>
              <w:spacing w:line="360" w:lineRule="auto"/>
              <w:rPr>
                <w:rFonts w:ascii="宋体" w:hAnsi="宋体"/>
                <w:b/>
                <w:color w:val="000000"/>
                <w:sz w:val="24"/>
                <w:highlight w:val="none"/>
              </w:rPr>
            </w:pPr>
          </w:p>
        </w:tc>
        <w:tc>
          <w:tcPr>
            <w:tcW w:w="820" w:type="dxa"/>
            <w:noWrap w:val="0"/>
            <w:vAlign w:val="top"/>
          </w:tcPr>
          <w:p w14:paraId="200FB1B3">
            <w:pPr>
              <w:pStyle w:val="296"/>
              <w:spacing w:line="360" w:lineRule="auto"/>
              <w:rPr>
                <w:rFonts w:ascii="宋体" w:hAnsi="宋体"/>
                <w:b/>
                <w:color w:val="000000"/>
                <w:sz w:val="24"/>
                <w:highlight w:val="none"/>
              </w:rPr>
            </w:pPr>
          </w:p>
        </w:tc>
        <w:tc>
          <w:tcPr>
            <w:tcW w:w="916" w:type="dxa"/>
            <w:noWrap w:val="0"/>
            <w:vAlign w:val="top"/>
          </w:tcPr>
          <w:p w14:paraId="6B82D065">
            <w:pPr>
              <w:pStyle w:val="296"/>
              <w:spacing w:line="360" w:lineRule="auto"/>
              <w:rPr>
                <w:rFonts w:ascii="宋体" w:hAnsi="宋体"/>
                <w:b/>
                <w:color w:val="000000"/>
                <w:sz w:val="24"/>
                <w:highlight w:val="none"/>
              </w:rPr>
            </w:pPr>
          </w:p>
        </w:tc>
        <w:tc>
          <w:tcPr>
            <w:tcW w:w="796" w:type="dxa"/>
            <w:noWrap w:val="0"/>
            <w:vAlign w:val="top"/>
          </w:tcPr>
          <w:p w14:paraId="75045389">
            <w:pPr>
              <w:pStyle w:val="296"/>
              <w:spacing w:line="360" w:lineRule="auto"/>
              <w:rPr>
                <w:rFonts w:ascii="宋体" w:hAnsi="宋体"/>
                <w:b/>
                <w:color w:val="000000"/>
                <w:sz w:val="24"/>
                <w:highlight w:val="none"/>
              </w:rPr>
            </w:pPr>
          </w:p>
        </w:tc>
      </w:tr>
    </w:tbl>
    <w:p w14:paraId="3FB48D2A">
      <w:pPr>
        <w:pStyle w:val="296"/>
        <w:spacing w:before="156" w:line="360" w:lineRule="auto"/>
        <w:ind w:firstLine="480"/>
        <w:rPr>
          <w:rFonts w:ascii="宋体" w:hAnsi="宋体"/>
          <w:color w:val="000000"/>
          <w:sz w:val="24"/>
          <w:szCs w:val="20"/>
          <w:highlight w:val="none"/>
          <w:u w:val="single"/>
        </w:rPr>
      </w:pPr>
      <w:r>
        <w:rPr>
          <w:rFonts w:hint="eastAsia" w:ascii="宋体" w:hAnsi="宋体"/>
          <w:color w:val="000000"/>
          <w:sz w:val="24"/>
          <w:szCs w:val="20"/>
          <w:highlight w:val="none"/>
          <w:u w:val="single"/>
        </w:rPr>
        <w:t>注：1、行数不够，请自行添加。</w:t>
      </w:r>
    </w:p>
    <w:p w14:paraId="26886DA8">
      <w:pPr>
        <w:pStyle w:val="296"/>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2、列入本表人员如要更换，须经采购人同意，擅自更换属违约行为。</w:t>
      </w:r>
    </w:p>
    <w:p w14:paraId="37F21336">
      <w:pPr>
        <w:pStyle w:val="293"/>
        <w:ind w:firstLine="480"/>
        <w:jc w:val="left"/>
        <w:outlineLvl w:val="2"/>
        <w:rPr>
          <w:rFonts w:hint="eastAsia" w:ascii="宋体" w:hAnsi="宋体" w:eastAsia="宋体" w:cs="Times New Roman"/>
          <w:color w:val="000000"/>
          <w:sz w:val="24"/>
          <w:szCs w:val="22"/>
          <w:highlight w:val="none"/>
          <w:u w:val="single"/>
          <w:lang w:bidi="ar-SA"/>
        </w:rPr>
      </w:pPr>
      <w:r>
        <w:rPr>
          <w:rFonts w:hint="eastAsia" w:ascii="宋体" w:hAnsi="宋体" w:eastAsia="宋体" w:cs="Times New Roman"/>
          <w:color w:val="000000"/>
          <w:sz w:val="24"/>
          <w:szCs w:val="22"/>
          <w:highlight w:val="none"/>
          <w:u w:val="single"/>
          <w:lang w:val="en-US" w:eastAsia="zh-CN" w:bidi="ar-SA"/>
        </w:rPr>
        <w:t>3</w:t>
      </w:r>
      <w:r>
        <w:rPr>
          <w:rFonts w:hint="eastAsia" w:ascii="宋体" w:hAnsi="宋体" w:eastAsia="宋体" w:cs="Times New Roman"/>
          <w:color w:val="000000"/>
          <w:sz w:val="24"/>
          <w:szCs w:val="22"/>
          <w:highlight w:val="none"/>
          <w:u w:val="single"/>
          <w:lang w:bidi="ar-SA"/>
        </w:rPr>
        <w:t>、根据评分标准中关于</w:t>
      </w:r>
      <w:r>
        <w:rPr>
          <w:rFonts w:hint="eastAsia" w:ascii="宋体" w:hAnsi="宋体" w:eastAsia="宋体" w:cs="Times New Roman"/>
          <w:color w:val="000000"/>
          <w:sz w:val="24"/>
          <w:szCs w:val="22"/>
          <w:highlight w:val="none"/>
          <w:u w:val="single"/>
          <w:lang w:val="en-US" w:eastAsia="zh-CN" w:bidi="ar-SA"/>
        </w:rPr>
        <w:t>项目成员</w:t>
      </w:r>
      <w:r>
        <w:rPr>
          <w:rFonts w:hint="eastAsia" w:ascii="宋体" w:hAnsi="宋体" w:eastAsia="宋体" w:cs="Times New Roman"/>
          <w:color w:val="000000"/>
          <w:sz w:val="24"/>
          <w:szCs w:val="22"/>
          <w:highlight w:val="none"/>
          <w:u w:val="single"/>
          <w:lang w:bidi="ar-SA"/>
        </w:rPr>
        <w:t>的描述，提供符合磋商文件要求的证明材料扫描件。</w:t>
      </w:r>
    </w:p>
    <w:p w14:paraId="5BC8DF1F">
      <w:pPr>
        <w:pStyle w:val="293"/>
        <w:ind w:firstLine="480"/>
        <w:jc w:val="left"/>
        <w:outlineLvl w:val="2"/>
        <w:rPr>
          <w:rFonts w:hint="eastAsia" w:ascii="宋体" w:hAnsi="宋体" w:eastAsia="宋体" w:cs="Times New Roman"/>
          <w:color w:val="000000"/>
          <w:sz w:val="24"/>
          <w:szCs w:val="22"/>
          <w:highlight w:val="none"/>
          <w:u w:val="single"/>
          <w:lang w:bidi="ar-SA"/>
        </w:rPr>
      </w:pPr>
      <w:r>
        <w:rPr>
          <w:rFonts w:hint="eastAsia" w:ascii="宋体" w:hAnsi="宋体" w:eastAsia="宋体" w:cs="Times New Roman"/>
          <w:color w:val="000000"/>
          <w:sz w:val="24"/>
          <w:szCs w:val="22"/>
          <w:highlight w:val="none"/>
          <w:u w:val="single"/>
          <w:lang w:val="en-US" w:eastAsia="zh-CN" w:bidi="ar-SA"/>
        </w:rPr>
        <w:t>4</w:t>
      </w:r>
      <w:r>
        <w:rPr>
          <w:rFonts w:hint="eastAsia" w:ascii="宋体" w:hAnsi="宋体" w:eastAsia="宋体" w:cs="Times New Roman"/>
          <w:color w:val="000000"/>
          <w:sz w:val="24"/>
          <w:szCs w:val="22"/>
          <w:highlight w:val="none"/>
          <w:u w:val="single"/>
          <w:lang w:bidi="ar-SA"/>
        </w:rPr>
        <w:t>、行数不够，自行添加。</w:t>
      </w:r>
    </w:p>
    <w:p w14:paraId="1C5013C7">
      <w:pPr>
        <w:pStyle w:val="293"/>
        <w:jc w:val="center"/>
        <w:outlineLvl w:val="2"/>
        <w:rPr>
          <w:rFonts w:hint="eastAsia" w:ascii="宋体" w:hAnsi="宋体" w:eastAsia="宋体" w:cs="宋体"/>
          <w:b/>
          <w:bCs/>
          <w:sz w:val="28"/>
          <w:szCs w:val="24"/>
          <w:highlight w:val="none"/>
          <w:lang w:bidi="ar-SA"/>
        </w:rPr>
      </w:pPr>
    </w:p>
    <w:p w14:paraId="4B44B34B">
      <w:pPr>
        <w:pStyle w:val="293"/>
        <w:jc w:val="center"/>
        <w:outlineLvl w:val="2"/>
        <w:rPr>
          <w:highlight w:val="none"/>
        </w:rPr>
      </w:pPr>
    </w:p>
    <w:p w14:paraId="56B24EA8">
      <w:pPr>
        <w:pStyle w:val="293"/>
        <w:jc w:val="center"/>
        <w:outlineLvl w:val="2"/>
        <w:rPr>
          <w:highlight w:val="none"/>
        </w:rPr>
      </w:pPr>
    </w:p>
    <w:p w14:paraId="12E663CA">
      <w:pPr>
        <w:pStyle w:val="293"/>
        <w:jc w:val="center"/>
        <w:outlineLvl w:val="2"/>
        <w:rPr>
          <w:highlight w:val="none"/>
        </w:rPr>
      </w:pPr>
    </w:p>
    <w:p w14:paraId="6D6D21E5">
      <w:pPr>
        <w:pStyle w:val="293"/>
        <w:jc w:val="center"/>
        <w:outlineLvl w:val="2"/>
        <w:rPr>
          <w:highlight w:val="none"/>
        </w:rPr>
      </w:pPr>
    </w:p>
    <w:p w14:paraId="1523AC36">
      <w:pPr>
        <w:pStyle w:val="293"/>
        <w:jc w:val="center"/>
        <w:outlineLvl w:val="2"/>
        <w:rPr>
          <w:highlight w:val="none"/>
        </w:rPr>
      </w:pPr>
    </w:p>
    <w:p w14:paraId="43BCE035">
      <w:pPr>
        <w:pStyle w:val="293"/>
        <w:jc w:val="center"/>
        <w:outlineLvl w:val="2"/>
        <w:rPr>
          <w:highlight w:val="none"/>
        </w:rPr>
      </w:pPr>
    </w:p>
    <w:p w14:paraId="1AC17929">
      <w:pPr>
        <w:pStyle w:val="293"/>
        <w:jc w:val="center"/>
        <w:outlineLvl w:val="2"/>
        <w:rPr>
          <w:highlight w:val="none"/>
        </w:rPr>
      </w:pPr>
    </w:p>
    <w:p w14:paraId="27C25606">
      <w:pPr>
        <w:pStyle w:val="293"/>
        <w:jc w:val="center"/>
        <w:outlineLvl w:val="2"/>
        <w:rPr>
          <w:highlight w:val="none"/>
        </w:rPr>
      </w:pPr>
    </w:p>
    <w:p w14:paraId="26CF7918">
      <w:pPr>
        <w:pStyle w:val="293"/>
        <w:jc w:val="center"/>
        <w:outlineLvl w:val="2"/>
        <w:rPr>
          <w:highlight w:val="none"/>
        </w:rPr>
      </w:pPr>
    </w:p>
    <w:p w14:paraId="07BCA7E6">
      <w:pPr>
        <w:pStyle w:val="293"/>
        <w:jc w:val="center"/>
        <w:outlineLvl w:val="2"/>
        <w:rPr>
          <w:highlight w:val="none"/>
        </w:rPr>
      </w:pPr>
    </w:p>
    <w:p w14:paraId="088A3252">
      <w:pPr>
        <w:pStyle w:val="293"/>
        <w:jc w:val="center"/>
        <w:outlineLvl w:val="2"/>
        <w:rPr>
          <w:highlight w:val="none"/>
        </w:rPr>
      </w:pPr>
    </w:p>
    <w:p w14:paraId="7ADE8E0D">
      <w:pPr>
        <w:pStyle w:val="293"/>
        <w:jc w:val="center"/>
        <w:outlineLvl w:val="2"/>
        <w:rPr>
          <w:highlight w:val="none"/>
        </w:rPr>
      </w:pPr>
    </w:p>
    <w:p w14:paraId="0E3D684D">
      <w:pPr>
        <w:pStyle w:val="293"/>
        <w:jc w:val="center"/>
        <w:outlineLvl w:val="2"/>
        <w:rPr>
          <w:highlight w:val="none"/>
        </w:rPr>
      </w:pPr>
    </w:p>
    <w:p w14:paraId="3E836046">
      <w:pPr>
        <w:pStyle w:val="293"/>
        <w:jc w:val="center"/>
        <w:outlineLvl w:val="2"/>
        <w:rPr>
          <w:highlight w:val="none"/>
        </w:rPr>
      </w:pPr>
    </w:p>
    <w:p w14:paraId="59C3A255">
      <w:pPr>
        <w:pStyle w:val="293"/>
        <w:jc w:val="center"/>
        <w:outlineLvl w:val="2"/>
        <w:rPr>
          <w:highlight w:val="none"/>
        </w:rPr>
      </w:pPr>
    </w:p>
    <w:p w14:paraId="2A05B72A">
      <w:pPr>
        <w:pStyle w:val="293"/>
        <w:jc w:val="center"/>
        <w:outlineLvl w:val="2"/>
        <w:rPr>
          <w:highlight w:val="none"/>
        </w:rPr>
      </w:pPr>
    </w:p>
    <w:p w14:paraId="7A359487">
      <w:pPr>
        <w:pStyle w:val="293"/>
        <w:jc w:val="center"/>
        <w:outlineLvl w:val="2"/>
        <w:rPr>
          <w:highlight w:val="none"/>
        </w:rPr>
      </w:pPr>
    </w:p>
    <w:p w14:paraId="4D2F36CA">
      <w:pPr>
        <w:pStyle w:val="293"/>
        <w:jc w:val="center"/>
        <w:outlineLvl w:val="2"/>
        <w:rPr>
          <w:highlight w:val="none"/>
        </w:rPr>
      </w:pPr>
    </w:p>
    <w:p w14:paraId="6FC423C0">
      <w:pPr>
        <w:pStyle w:val="293"/>
        <w:jc w:val="center"/>
        <w:outlineLvl w:val="2"/>
        <w:rPr>
          <w:highlight w:val="none"/>
        </w:rPr>
      </w:pPr>
    </w:p>
    <w:p w14:paraId="25220200">
      <w:pPr>
        <w:pStyle w:val="293"/>
        <w:jc w:val="center"/>
        <w:outlineLvl w:val="2"/>
        <w:rPr>
          <w:highlight w:val="none"/>
        </w:rPr>
      </w:pPr>
    </w:p>
    <w:p w14:paraId="3D9383E6">
      <w:pPr>
        <w:pStyle w:val="293"/>
        <w:jc w:val="center"/>
        <w:outlineLvl w:val="2"/>
        <w:rPr>
          <w:highlight w:val="none"/>
        </w:rPr>
      </w:pPr>
    </w:p>
    <w:p w14:paraId="2669A9D0">
      <w:pPr>
        <w:pStyle w:val="293"/>
        <w:jc w:val="center"/>
        <w:outlineLvl w:val="2"/>
        <w:rPr>
          <w:highlight w:val="none"/>
        </w:rPr>
      </w:pPr>
    </w:p>
    <w:p w14:paraId="4652F0CB">
      <w:pPr>
        <w:pStyle w:val="293"/>
        <w:jc w:val="center"/>
        <w:outlineLvl w:val="2"/>
        <w:rPr>
          <w:highlight w:val="none"/>
        </w:rPr>
      </w:pPr>
    </w:p>
    <w:p w14:paraId="2DCC0508">
      <w:pPr>
        <w:pStyle w:val="293"/>
        <w:jc w:val="center"/>
        <w:outlineLvl w:val="2"/>
        <w:rPr>
          <w:highlight w:val="none"/>
        </w:rPr>
      </w:pPr>
    </w:p>
    <w:p w14:paraId="2C350A31">
      <w:pPr>
        <w:pStyle w:val="293"/>
        <w:jc w:val="center"/>
        <w:outlineLvl w:val="2"/>
        <w:rPr>
          <w:rFonts w:ascii="宋体" w:hAnsi="宋体"/>
          <w:b/>
          <w:color w:val="000000"/>
          <w:sz w:val="24"/>
          <w:szCs w:val="20"/>
          <w:highlight w:val="none"/>
        </w:rPr>
      </w:pPr>
      <w:bookmarkStart w:id="359" w:name="_Toc17834"/>
      <w:r>
        <w:rPr>
          <w:rFonts w:hint="eastAsia" w:ascii="宋体" w:hAnsi="宋体" w:eastAsia="Times New Roman" w:cs="Times New Roman"/>
          <w:b/>
          <w:color w:val="000000"/>
          <w:sz w:val="24"/>
          <w:szCs w:val="20"/>
          <w:highlight w:val="none"/>
        </w:rPr>
        <w:t>(</w:t>
      </w:r>
      <w:r>
        <w:rPr>
          <w:rFonts w:hint="eastAsia" w:ascii="宋体" w:hAnsi="宋体" w:eastAsia="Times New Roman" w:cs="Times New Roman"/>
          <w:b/>
          <w:color w:val="000000"/>
          <w:sz w:val="24"/>
          <w:szCs w:val="20"/>
          <w:highlight w:val="none"/>
          <w:lang w:val="en-US" w:eastAsia="zh-CN"/>
        </w:rPr>
        <w:t>三</w:t>
      </w:r>
      <w:r>
        <w:rPr>
          <w:rFonts w:hint="eastAsia" w:ascii="宋体" w:hAnsi="宋体" w:eastAsia="Times New Roman" w:cs="Times New Roman"/>
          <w:b/>
          <w:color w:val="000000"/>
          <w:sz w:val="24"/>
          <w:szCs w:val="20"/>
          <w:highlight w:val="none"/>
        </w:rPr>
        <w:t xml:space="preserve">) </w:t>
      </w:r>
      <w:r>
        <w:rPr>
          <w:rFonts w:hint="eastAsia" w:ascii="宋体" w:hAnsi="宋体"/>
          <w:b/>
          <w:color w:val="000000"/>
          <w:sz w:val="24"/>
          <w:szCs w:val="20"/>
          <w:highlight w:val="none"/>
        </w:rPr>
        <w:t>类似业绩</w:t>
      </w:r>
      <w:bookmarkEnd w:id="359"/>
    </w:p>
    <w:tbl>
      <w:tblPr>
        <w:tblStyle w:val="3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2247"/>
        <w:gridCol w:w="2151"/>
        <w:gridCol w:w="1437"/>
        <w:gridCol w:w="1438"/>
        <w:gridCol w:w="1438"/>
      </w:tblGrid>
      <w:tr w14:paraId="79AF0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jc w:val="center"/>
        </w:trPr>
        <w:tc>
          <w:tcPr>
            <w:tcW w:w="275" w:type="dxa"/>
            <w:noWrap w:val="0"/>
            <w:vAlign w:val="center"/>
          </w:tcPr>
          <w:p w14:paraId="76087D21">
            <w:pPr>
              <w:pStyle w:val="294"/>
              <w:spacing w:line="360" w:lineRule="auto"/>
              <w:jc w:val="center"/>
              <w:rPr>
                <w:rFonts w:ascii="等线" w:hAnsi="等线" w:eastAsia="等线"/>
                <w:bCs/>
                <w:sz w:val="24"/>
                <w:szCs w:val="21"/>
                <w:highlight w:val="none"/>
              </w:rPr>
            </w:pPr>
            <w:r>
              <w:rPr>
                <w:rFonts w:hint="eastAsia" w:ascii="等线" w:hAnsi="等线" w:eastAsia="等线"/>
                <w:bCs/>
                <w:sz w:val="24"/>
                <w:szCs w:val="21"/>
                <w:highlight w:val="none"/>
              </w:rPr>
              <w:t>序号</w:t>
            </w:r>
          </w:p>
        </w:tc>
        <w:tc>
          <w:tcPr>
            <w:tcW w:w="1218" w:type="dxa"/>
            <w:noWrap w:val="0"/>
            <w:vAlign w:val="center"/>
          </w:tcPr>
          <w:p w14:paraId="079E1D14">
            <w:pPr>
              <w:pStyle w:val="294"/>
              <w:spacing w:line="360" w:lineRule="auto"/>
              <w:jc w:val="center"/>
              <w:rPr>
                <w:rFonts w:ascii="等线" w:hAnsi="等线" w:eastAsia="等线"/>
                <w:bCs/>
                <w:sz w:val="24"/>
                <w:szCs w:val="21"/>
                <w:highlight w:val="none"/>
              </w:rPr>
            </w:pPr>
            <w:r>
              <w:rPr>
                <w:rFonts w:hint="eastAsia" w:ascii="等线" w:hAnsi="等线" w:eastAsia="等线"/>
                <w:bCs/>
                <w:sz w:val="24"/>
                <w:szCs w:val="21"/>
                <w:highlight w:val="none"/>
              </w:rPr>
              <w:t>项目名称</w:t>
            </w:r>
          </w:p>
        </w:tc>
        <w:tc>
          <w:tcPr>
            <w:tcW w:w="1166" w:type="dxa"/>
            <w:noWrap w:val="0"/>
            <w:vAlign w:val="center"/>
          </w:tcPr>
          <w:p w14:paraId="347143EB">
            <w:pPr>
              <w:pStyle w:val="294"/>
              <w:spacing w:line="360" w:lineRule="auto"/>
              <w:jc w:val="center"/>
              <w:rPr>
                <w:rFonts w:ascii="等线" w:hAnsi="等线" w:eastAsia="等线"/>
                <w:bCs/>
                <w:sz w:val="24"/>
                <w:szCs w:val="21"/>
                <w:highlight w:val="none"/>
              </w:rPr>
            </w:pPr>
            <w:r>
              <w:rPr>
                <w:rFonts w:hint="eastAsia" w:ascii="等线" w:hAnsi="等线" w:eastAsia="等线"/>
                <w:bCs/>
                <w:sz w:val="24"/>
                <w:szCs w:val="21"/>
                <w:highlight w:val="none"/>
              </w:rPr>
              <w:t>项目内容</w:t>
            </w:r>
          </w:p>
        </w:tc>
        <w:tc>
          <w:tcPr>
            <w:tcW w:w="779" w:type="dxa"/>
            <w:noWrap w:val="0"/>
            <w:vAlign w:val="center"/>
          </w:tcPr>
          <w:p w14:paraId="155E2432">
            <w:pPr>
              <w:pStyle w:val="294"/>
              <w:spacing w:line="360" w:lineRule="auto"/>
              <w:jc w:val="center"/>
              <w:rPr>
                <w:rFonts w:hint="eastAsia" w:ascii="等线" w:hAnsi="等线" w:eastAsia="等线"/>
                <w:bCs/>
                <w:sz w:val="24"/>
                <w:szCs w:val="21"/>
                <w:highlight w:val="none"/>
              </w:rPr>
            </w:pPr>
            <w:r>
              <w:rPr>
                <w:rFonts w:hint="eastAsia" w:ascii="等线" w:hAnsi="等线" w:eastAsia="等线"/>
                <w:bCs/>
                <w:sz w:val="24"/>
                <w:szCs w:val="21"/>
                <w:highlight w:val="none"/>
              </w:rPr>
              <w:t>采购人</w:t>
            </w:r>
          </w:p>
        </w:tc>
        <w:tc>
          <w:tcPr>
            <w:tcW w:w="779" w:type="dxa"/>
            <w:noWrap w:val="0"/>
            <w:vAlign w:val="center"/>
          </w:tcPr>
          <w:p w14:paraId="0F3C9EE5">
            <w:pPr>
              <w:pStyle w:val="294"/>
              <w:spacing w:line="360" w:lineRule="auto"/>
              <w:jc w:val="center"/>
              <w:rPr>
                <w:rFonts w:ascii="等线" w:hAnsi="等线" w:eastAsia="等线"/>
                <w:bCs/>
                <w:sz w:val="24"/>
                <w:szCs w:val="21"/>
                <w:highlight w:val="none"/>
              </w:rPr>
            </w:pPr>
            <w:r>
              <w:rPr>
                <w:rFonts w:hint="eastAsia" w:ascii="等线" w:hAnsi="等线" w:eastAsia="等线"/>
                <w:bCs/>
                <w:sz w:val="24"/>
                <w:szCs w:val="21"/>
                <w:highlight w:val="none"/>
              </w:rPr>
              <w:t>所在地</w:t>
            </w:r>
          </w:p>
        </w:tc>
        <w:tc>
          <w:tcPr>
            <w:tcW w:w="779" w:type="dxa"/>
            <w:noWrap w:val="0"/>
            <w:vAlign w:val="center"/>
          </w:tcPr>
          <w:p w14:paraId="5CAC0FBA">
            <w:pPr>
              <w:pStyle w:val="294"/>
              <w:spacing w:line="360" w:lineRule="auto"/>
              <w:jc w:val="center"/>
              <w:rPr>
                <w:rFonts w:ascii="等线" w:hAnsi="等线" w:eastAsia="等线"/>
                <w:bCs/>
                <w:sz w:val="24"/>
                <w:szCs w:val="21"/>
                <w:highlight w:val="none"/>
              </w:rPr>
            </w:pPr>
            <w:r>
              <w:rPr>
                <w:rFonts w:hint="eastAsia" w:ascii="等线" w:hAnsi="等线" w:eastAsia="等线"/>
                <w:bCs/>
                <w:sz w:val="24"/>
                <w:szCs w:val="21"/>
                <w:highlight w:val="none"/>
              </w:rPr>
              <w:t>时间</w:t>
            </w:r>
          </w:p>
        </w:tc>
      </w:tr>
      <w:tr w14:paraId="07CC3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275" w:type="dxa"/>
            <w:noWrap w:val="0"/>
            <w:vAlign w:val="center"/>
          </w:tcPr>
          <w:p w14:paraId="3B1635B3">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1</w:t>
            </w:r>
          </w:p>
        </w:tc>
        <w:tc>
          <w:tcPr>
            <w:tcW w:w="1218" w:type="dxa"/>
            <w:noWrap w:val="0"/>
            <w:vAlign w:val="center"/>
          </w:tcPr>
          <w:p w14:paraId="572FE572">
            <w:pPr>
              <w:pStyle w:val="294"/>
              <w:spacing w:line="360" w:lineRule="auto"/>
              <w:jc w:val="center"/>
              <w:rPr>
                <w:rFonts w:ascii="等线" w:hAnsi="等线" w:eastAsia="等线"/>
                <w:sz w:val="24"/>
                <w:szCs w:val="21"/>
                <w:highlight w:val="none"/>
              </w:rPr>
            </w:pPr>
          </w:p>
        </w:tc>
        <w:tc>
          <w:tcPr>
            <w:tcW w:w="1166" w:type="dxa"/>
            <w:noWrap w:val="0"/>
            <w:vAlign w:val="top"/>
          </w:tcPr>
          <w:p w14:paraId="46438A06">
            <w:pPr>
              <w:pStyle w:val="294"/>
              <w:spacing w:line="360" w:lineRule="auto"/>
              <w:jc w:val="center"/>
              <w:rPr>
                <w:rFonts w:ascii="等线" w:hAnsi="等线" w:eastAsia="等线"/>
                <w:sz w:val="24"/>
                <w:szCs w:val="21"/>
                <w:highlight w:val="none"/>
              </w:rPr>
            </w:pPr>
          </w:p>
        </w:tc>
        <w:tc>
          <w:tcPr>
            <w:tcW w:w="779" w:type="dxa"/>
            <w:noWrap w:val="0"/>
            <w:vAlign w:val="center"/>
          </w:tcPr>
          <w:p w14:paraId="1F24919E">
            <w:pPr>
              <w:pStyle w:val="294"/>
              <w:spacing w:line="360" w:lineRule="auto"/>
              <w:jc w:val="center"/>
              <w:rPr>
                <w:rFonts w:ascii="等线" w:hAnsi="等线" w:eastAsia="等线"/>
                <w:sz w:val="24"/>
                <w:szCs w:val="21"/>
                <w:highlight w:val="none"/>
              </w:rPr>
            </w:pPr>
          </w:p>
        </w:tc>
        <w:tc>
          <w:tcPr>
            <w:tcW w:w="779" w:type="dxa"/>
            <w:noWrap w:val="0"/>
            <w:vAlign w:val="center"/>
          </w:tcPr>
          <w:p w14:paraId="4DCF3C31">
            <w:pPr>
              <w:pStyle w:val="294"/>
              <w:spacing w:line="360" w:lineRule="auto"/>
              <w:jc w:val="center"/>
              <w:rPr>
                <w:rFonts w:ascii="等线" w:hAnsi="等线" w:eastAsia="等线"/>
                <w:sz w:val="24"/>
                <w:szCs w:val="21"/>
                <w:highlight w:val="none"/>
              </w:rPr>
            </w:pPr>
          </w:p>
        </w:tc>
        <w:tc>
          <w:tcPr>
            <w:tcW w:w="779" w:type="dxa"/>
            <w:noWrap w:val="0"/>
            <w:vAlign w:val="center"/>
          </w:tcPr>
          <w:p w14:paraId="2B497AB5">
            <w:pPr>
              <w:pStyle w:val="294"/>
              <w:spacing w:line="360" w:lineRule="auto"/>
              <w:jc w:val="center"/>
              <w:rPr>
                <w:rFonts w:ascii="等线" w:hAnsi="等线" w:eastAsia="等线"/>
                <w:sz w:val="24"/>
                <w:szCs w:val="21"/>
                <w:highlight w:val="none"/>
              </w:rPr>
            </w:pPr>
          </w:p>
        </w:tc>
      </w:tr>
      <w:tr w14:paraId="12F29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275" w:type="dxa"/>
            <w:noWrap w:val="0"/>
            <w:vAlign w:val="center"/>
          </w:tcPr>
          <w:p w14:paraId="79166852">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2</w:t>
            </w:r>
          </w:p>
        </w:tc>
        <w:tc>
          <w:tcPr>
            <w:tcW w:w="1218" w:type="dxa"/>
            <w:noWrap w:val="0"/>
            <w:vAlign w:val="center"/>
          </w:tcPr>
          <w:p w14:paraId="3F98284C">
            <w:pPr>
              <w:pStyle w:val="294"/>
              <w:spacing w:line="360" w:lineRule="auto"/>
              <w:jc w:val="center"/>
              <w:rPr>
                <w:rFonts w:ascii="等线" w:hAnsi="等线" w:eastAsia="等线"/>
                <w:sz w:val="24"/>
                <w:szCs w:val="21"/>
                <w:highlight w:val="none"/>
              </w:rPr>
            </w:pPr>
          </w:p>
        </w:tc>
        <w:tc>
          <w:tcPr>
            <w:tcW w:w="1166" w:type="dxa"/>
            <w:noWrap w:val="0"/>
            <w:vAlign w:val="top"/>
          </w:tcPr>
          <w:p w14:paraId="71C4D07E">
            <w:pPr>
              <w:pStyle w:val="294"/>
              <w:spacing w:line="360" w:lineRule="auto"/>
              <w:jc w:val="center"/>
              <w:rPr>
                <w:rFonts w:ascii="等线" w:hAnsi="等线" w:eastAsia="等线"/>
                <w:sz w:val="24"/>
                <w:szCs w:val="21"/>
                <w:highlight w:val="none"/>
              </w:rPr>
            </w:pPr>
          </w:p>
        </w:tc>
        <w:tc>
          <w:tcPr>
            <w:tcW w:w="779" w:type="dxa"/>
            <w:noWrap w:val="0"/>
            <w:vAlign w:val="center"/>
          </w:tcPr>
          <w:p w14:paraId="7BF72446">
            <w:pPr>
              <w:pStyle w:val="294"/>
              <w:spacing w:line="360" w:lineRule="auto"/>
              <w:jc w:val="center"/>
              <w:rPr>
                <w:rFonts w:ascii="等线" w:hAnsi="等线" w:eastAsia="等线"/>
                <w:sz w:val="24"/>
                <w:szCs w:val="21"/>
                <w:highlight w:val="none"/>
              </w:rPr>
            </w:pPr>
          </w:p>
        </w:tc>
        <w:tc>
          <w:tcPr>
            <w:tcW w:w="779" w:type="dxa"/>
            <w:noWrap w:val="0"/>
            <w:vAlign w:val="center"/>
          </w:tcPr>
          <w:p w14:paraId="6FECAFF1">
            <w:pPr>
              <w:pStyle w:val="294"/>
              <w:spacing w:line="360" w:lineRule="auto"/>
              <w:jc w:val="center"/>
              <w:rPr>
                <w:rFonts w:ascii="等线" w:hAnsi="等线" w:eastAsia="等线"/>
                <w:sz w:val="24"/>
                <w:szCs w:val="21"/>
                <w:highlight w:val="none"/>
              </w:rPr>
            </w:pPr>
          </w:p>
        </w:tc>
        <w:tc>
          <w:tcPr>
            <w:tcW w:w="779" w:type="dxa"/>
            <w:noWrap w:val="0"/>
            <w:vAlign w:val="center"/>
          </w:tcPr>
          <w:p w14:paraId="48369407">
            <w:pPr>
              <w:pStyle w:val="294"/>
              <w:spacing w:line="360" w:lineRule="auto"/>
              <w:jc w:val="center"/>
              <w:rPr>
                <w:rFonts w:ascii="等线" w:hAnsi="等线" w:eastAsia="等线"/>
                <w:sz w:val="24"/>
                <w:szCs w:val="21"/>
                <w:highlight w:val="none"/>
              </w:rPr>
            </w:pPr>
          </w:p>
        </w:tc>
      </w:tr>
      <w:tr w14:paraId="2BE43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275" w:type="dxa"/>
            <w:noWrap w:val="0"/>
            <w:vAlign w:val="center"/>
          </w:tcPr>
          <w:p w14:paraId="5C037EEC">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3</w:t>
            </w:r>
          </w:p>
        </w:tc>
        <w:tc>
          <w:tcPr>
            <w:tcW w:w="1218" w:type="dxa"/>
            <w:noWrap w:val="0"/>
            <w:vAlign w:val="center"/>
          </w:tcPr>
          <w:p w14:paraId="638D0BF9">
            <w:pPr>
              <w:pStyle w:val="294"/>
              <w:spacing w:line="360" w:lineRule="auto"/>
              <w:jc w:val="center"/>
              <w:rPr>
                <w:rFonts w:ascii="等线" w:hAnsi="等线" w:eastAsia="等线"/>
                <w:sz w:val="24"/>
                <w:szCs w:val="21"/>
                <w:highlight w:val="none"/>
              </w:rPr>
            </w:pPr>
          </w:p>
        </w:tc>
        <w:tc>
          <w:tcPr>
            <w:tcW w:w="1166" w:type="dxa"/>
            <w:noWrap w:val="0"/>
            <w:vAlign w:val="top"/>
          </w:tcPr>
          <w:p w14:paraId="4E2FC861">
            <w:pPr>
              <w:pStyle w:val="294"/>
              <w:spacing w:line="360" w:lineRule="auto"/>
              <w:jc w:val="center"/>
              <w:rPr>
                <w:rFonts w:ascii="等线" w:hAnsi="等线" w:eastAsia="等线"/>
                <w:sz w:val="24"/>
                <w:szCs w:val="21"/>
                <w:highlight w:val="none"/>
              </w:rPr>
            </w:pPr>
          </w:p>
        </w:tc>
        <w:tc>
          <w:tcPr>
            <w:tcW w:w="779" w:type="dxa"/>
            <w:noWrap w:val="0"/>
            <w:vAlign w:val="center"/>
          </w:tcPr>
          <w:p w14:paraId="4BE9AE9C">
            <w:pPr>
              <w:pStyle w:val="294"/>
              <w:spacing w:line="360" w:lineRule="auto"/>
              <w:jc w:val="center"/>
              <w:rPr>
                <w:rFonts w:ascii="等线" w:hAnsi="等线" w:eastAsia="等线"/>
                <w:sz w:val="24"/>
                <w:szCs w:val="21"/>
                <w:highlight w:val="none"/>
              </w:rPr>
            </w:pPr>
          </w:p>
        </w:tc>
        <w:tc>
          <w:tcPr>
            <w:tcW w:w="779" w:type="dxa"/>
            <w:noWrap w:val="0"/>
            <w:vAlign w:val="center"/>
          </w:tcPr>
          <w:p w14:paraId="4FE03FCE">
            <w:pPr>
              <w:pStyle w:val="294"/>
              <w:spacing w:line="360" w:lineRule="auto"/>
              <w:jc w:val="center"/>
              <w:rPr>
                <w:rFonts w:ascii="等线" w:hAnsi="等线" w:eastAsia="等线"/>
                <w:sz w:val="24"/>
                <w:szCs w:val="21"/>
                <w:highlight w:val="none"/>
              </w:rPr>
            </w:pPr>
          </w:p>
        </w:tc>
        <w:tc>
          <w:tcPr>
            <w:tcW w:w="779" w:type="dxa"/>
            <w:noWrap w:val="0"/>
            <w:vAlign w:val="center"/>
          </w:tcPr>
          <w:p w14:paraId="28A03856">
            <w:pPr>
              <w:pStyle w:val="294"/>
              <w:spacing w:line="360" w:lineRule="auto"/>
              <w:jc w:val="center"/>
              <w:rPr>
                <w:rFonts w:ascii="等线" w:hAnsi="等线" w:eastAsia="等线"/>
                <w:sz w:val="24"/>
                <w:szCs w:val="21"/>
                <w:highlight w:val="none"/>
              </w:rPr>
            </w:pPr>
          </w:p>
        </w:tc>
      </w:tr>
      <w:tr w14:paraId="72860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275" w:type="dxa"/>
            <w:noWrap w:val="0"/>
            <w:vAlign w:val="center"/>
          </w:tcPr>
          <w:p w14:paraId="7C2CF3A7">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4</w:t>
            </w:r>
          </w:p>
        </w:tc>
        <w:tc>
          <w:tcPr>
            <w:tcW w:w="1218" w:type="dxa"/>
            <w:noWrap w:val="0"/>
            <w:vAlign w:val="center"/>
          </w:tcPr>
          <w:p w14:paraId="23920A19">
            <w:pPr>
              <w:pStyle w:val="294"/>
              <w:spacing w:line="360" w:lineRule="auto"/>
              <w:jc w:val="center"/>
              <w:rPr>
                <w:rFonts w:ascii="等线" w:hAnsi="等线" w:eastAsia="等线"/>
                <w:sz w:val="24"/>
                <w:szCs w:val="21"/>
                <w:highlight w:val="none"/>
              </w:rPr>
            </w:pPr>
          </w:p>
        </w:tc>
        <w:tc>
          <w:tcPr>
            <w:tcW w:w="1166" w:type="dxa"/>
            <w:noWrap w:val="0"/>
            <w:vAlign w:val="top"/>
          </w:tcPr>
          <w:p w14:paraId="09FACBDB">
            <w:pPr>
              <w:pStyle w:val="294"/>
              <w:spacing w:line="360" w:lineRule="auto"/>
              <w:jc w:val="center"/>
              <w:rPr>
                <w:rFonts w:ascii="等线" w:hAnsi="等线" w:eastAsia="等线"/>
                <w:sz w:val="24"/>
                <w:szCs w:val="21"/>
                <w:highlight w:val="none"/>
              </w:rPr>
            </w:pPr>
          </w:p>
        </w:tc>
        <w:tc>
          <w:tcPr>
            <w:tcW w:w="779" w:type="dxa"/>
            <w:noWrap w:val="0"/>
            <w:vAlign w:val="center"/>
          </w:tcPr>
          <w:p w14:paraId="5780135C">
            <w:pPr>
              <w:pStyle w:val="294"/>
              <w:spacing w:line="360" w:lineRule="auto"/>
              <w:jc w:val="center"/>
              <w:rPr>
                <w:rFonts w:ascii="等线" w:hAnsi="等线" w:eastAsia="等线"/>
                <w:sz w:val="24"/>
                <w:szCs w:val="21"/>
                <w:highlight w:val="none"/>
              </w:rPr>
            </w:pPr>
          </w:p>
        </w:tc>
        <w:tc>
          <w:tcPr>
            <w:tcW w:w="779" w:type="dxa"/>
            <w:noWrap w:val="0"/>
            <w:vAlign w:val="center"/>
          </w:tcPr>
          <w:p w14:paraId="267AB996">
            <w:pPr>
              <w:pStyle w:val="294"/>
              <w:spacing w:line="360" w:lineRule="auto"/>
              <w:jc w:val="center"/>
              <w:rPr>
                <w:rFonts w:ascii="等线" w:hAnsi="等线" w:eastAsia="等线"/>
                <w:sz w:val="24"/>
                <w:szCs w:val="21"/>
                <w:highlight w:val="none"/>
              </w:rPr>
            </w:pPr>
          </w:p>
        </w:tc>
        <w:tc>
          <w:tcPr>
            <w:tcW w:w="779" w:type="dxa"/>
            <w:noWrap w:val="0"/>
            <w:vAlign w:val="center"/>
          </w:tcPr>
          <w:p w14:paraId="24989712">
            <w:pPr>
              <w:pStyle w:val="294"/>
              <w:spacing w:line="360" w:lineRule="auto"/>
              <w:jc w:val="center"/>
              <w:rPr>
                <w:rFonts w:ascii="等线" w:hAnsi="等线" w:eastAsia="等线"/>
                <w:sz w:val="24"/>
                <w:szCs w:val="21"/>
                <w:highlight w:val="none"/>
              </w:rPr>
            </w:pPr>
          </w:p>
        </w:tc>
      </w:tr>
      <w:tr w14:paraId="28D5F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275" w:type="dxa"/>
            <w:noWrap w:val="0"/>
            <w:vAlign w:val="center"/>
          </w:tcPr>
          <w:p w14:paraId="3CFBF712">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5</w:t>
            </w:r>
          </w:p>
        </w:tc>
        <w:tc>
          <w:tcPr>
            <w:tcW w:w="1218" w:type="dxa"/>
            <w:noWrap w:val="0"/>
            <w:vAlign w:val="center"/>
          </w:tcPr>
          <w:p w14:paraId="1F7176AF">
            <w:pPr>
              <w:pStyle w:val="294"/>
              <w:spacing w:line="360" w:lineRule="auto"/>
              <w:jc w:val="center"/>
              <w:rPr>
                <w:rFonts w:ascii="等线" w:hAnsi="等线" w:eastAsia="等线"/>
                <w:sz w:val="24"/>
                <w:szCs w:val="21"/>
                <w:highlight w:val="none"/>
              </w:rPr>
            </w:pPr>
          </w:p>
        </w:tc>
        <w:tc>
          <w:tcPr>
            <w:tcW w:w="1166" w:type="dxa"/>
            <w:noWrap w:val="0"/>
            <w:vAlign w:val="top"/>
          </w:tcPr>
          <w:p w14:paraId="69B0ACAC">
            <w:pPr>
              <w:pStyle w:val="294"/>
              <w:spacing w:line="360" w:lineRule="auto"/>
              <w:jc w:val="center"/>
              <w:rPr>
                <w:rFonts w:ascii="等线" w:hAnsi="等线" w:eastAsia="等线"/>
                <w:sz w:val="24"/>
                <w:szCs w:val="21"/>
                <w:highlight w:val="none"/>
              </w:rPr>
            </w:pPr>
          </w:p>
        </w:tc>
        <w:tc>
          <w:tcPr>
            <w:tcW w:w="779" w:type="dxa"/>
            <w:noWrap w:val="0"/>
            <w:vAlign w:val="center"/>
          </w:tcPr>
          <w:p w14:paraId="28CFDB04">
            <w:pPr>
              <w:pStyle w:val="294"/>
              <w:spacing w:line="360" w:lineRule="auto"/>
              <w:jc w:val="center"/>
              <w:rPr>
                <w:rFonts w:ascii="等线" w:hAnsi="等线" w:eastAsia="等线"/>
                <w:sz w:val="24"/>
                <w:szCs w:val="21"/>
                <w:highlight w:val="none"/>
              </w:rPr>
            </w:pPr>
          </w:p>
        </w:tc>
        <w:tc>
          <w:tcPr>
            <w:tcW w:w="779" w:type="dxa"/>
            <w:noWrap w:val="0"/>
            <w:vAlign w:val="center"/>
          </w:tcPr>
          <w:p w14:paraId="0E8866CA">
            <w:pPr>
              <w:pStyle w:val="294"/>
              <w:spacing w:line="360" w:lineRule="auto"/>
              <w:jc w:val="center"/>
              <w:rPr>
                <w:rFonts w:ascii="等线" w:hAnsi="等线" w:eastAsia="等线"/>
                <w:sz w:val="24"/>
                <w:szCs w:val="21"/>
                <w:highlight w:val="none"/>
              </w:rPr>
            </w:pPr>
          </w:p>
        </w:tc>
        <w:tc>
          <w:tcPr>
            <w:tcW w:w="779" w:type="dxa"/>
            <w:noWrap w:val="0"/>
            <w:vAlign w:val="center"/>
          </w:tcPr>
          <w:p w14:paraId="79FC3FBA">
            <w:pPr>
              <w:pStyle w:val="294"/>
              <w:spacing w:line="360" w:lineRule="auto"/>
              <w:jc w:val="center"/>
              <w:rPr>
                <w:rFonts w:ascii="等线" w:hAnsi="等线" w:eastAsia="等线"/>
                <w:sz w:val="24"/>
                <w:szCs w:val="21"/>
                <w:highlight w:val="none"/>
              </w:rPr>
            </w:pPr>
          </w:p>
        </w:tc>
      </w:tr>
      <w:tr w14:paraId="67C1F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275" w:type="dxa"/>
            <w:noWrap w:val="0"/>
            <w:vAlign w:val="center"/>
          </w:tcPr>
          <w:p w14:paraId="57E1E76D">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6</w:t>
            </w:r>
          </w:p>
        </w:tc>
        <w:tc>
          <w:tcPr>
            <w:tcW w:w="1218" w:type="dxa"/>
            <w:noWrap w:val="0"/>
            <w:vAlign w:val="center"/>
          </w:tcPr>
          <w:p w14:paraId="71A3346F">
            <w:pPr>
              <w:pStyle w:val="294"/>
              <w:spacing w:line="360" w:lineRule="auto"/>
              <w:jc w:val="center"/>
              <w:rPr>
                <w:rFonts w:ascii="等线" w:hAnsi="等线" w:eastAsia="等线"/>
                <w:sz w:val="24"/>
                <w:szCs w:val="21"/>
                <w:highlight w:val="none"/>
              </w:rPr>
            </w:pPr>
          </w:p>
        </w:tc>
        <w:tc>
          <w:tcPr>
            <w:tcW w:w="1166" w:type="dxa"/>
            <w:noWrap w:val="0"/>
            <w:vAlign w:val="top"/>
          </w:tcPr>
          <w:p w14:paraId="2115AE77">
            <w:pPr>
              <w:pStyle w:val="294"/>
              <w:spacing w:line="360" w:lineRule="auto"/>
              <w:jc w:val="center"/>
              <w:rPr>
                <w:rFonts w:ascii="等线" w:hAnsi="等线" w:eastAsia="等线"/>
                <w:sz w:val="24"/>
                <w:szCs w:val="21"/>
                <w:highlight w:val="none"/>
              </w:rPr>
            </w:pPr>
          </w:p>
        </w:tc>
        <w:tc>
          <w:tcPr>
            <w:tcW w:w="779" w:type="dxa"/>
            <w:noWrap w:val="0"/>
            <w:vAlign w:val="center"/>
          </w:tcPr>
          <w:p w14:paraId="7C44564F">
            <w:pPr>
              <w:pStyle w:val="294"/>
              <w:spacing w:line="360" w:lineRule="auto"/>
              <w:jc w:val="center"/>
              <w:rPr>
                <w:rFonts w:ascii="等线" w:hAnsi="等线" w:eastAsia="等线"/>
                <w:sz w:val="24"/>
                <w:szCs w:val="21"/>
                <w:highlight w:val="none"/>
              </w:rPr>
            </w:pPr>
          </w:p>
        </w:tc>
        <w:tc>
          <w:tcPr>
            <w:tcW w:w="779" w:type="dxa"/>
            <w:noWrap w:val="0"/>
            <w:vAlign w:val="center"/>
          </w:tcPr>
          <w:p w14:paraId="1815BCA9">
            <w:pPr>
              <w:pStyle w:val="294"/>
              <w:spacing w:line="360" w:lineRule="auto"/>
              <w:jc w:val="center"/>
              <w:rPr>
                <w:rFonts w:ascii="等线" w:hAnsi="等线" w:eastAsia="等线"/>
                <w:sz w:val="24"/>
                <w:szCs w:val="21"/>
                <w:highlight w:val="none"/>
              </w:rPr>
            </w:pPr>
          </w:p>
        </w:tc>
        <w:tc>
          <w:tcPr>
            <w:tcW w:w="779" w:type="dxa"/>
            <w:noWrap w:val="0"/>
            <w:vAlign w:val="center"/>
          </w:tcPr>
          <w:p w14:paraId="091A97CE">
            <w:pPr>
              <w:pStyle w:val="294"/>
              <w:spacing w:line="360" w:lineRule="auto"/>
              <w:jc w:val="center"/>
              <w:rPr>
                <w:rFonts w:ascii="等线" w:hAnsi="等线" w:eastAsia="等线"/>
                <w:sz w:val="24"/>
                <w:szCs w:val="21"/>
                <w:highlight w:val="none"/>
              </w:rPr>
            </w:pPr>
          </w:p>
        </w:tc>
      </w:tr>
      <w:tr w14:paraId="2D89D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275" w:type="dxa"/>
            <w:noWrap w:val="0"/>
            <w:vAlign w:val="center"/>
          </w:tcPr>
          <w:p w14:paraId="0E2B8EBB">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7</w:t>
            </w:r>
          </w:p>
        </w:tc>
        <w:tc>
          <w:tcPr>
            <w:tcW w:w="1218" w:type="dxa"/>
            <w:noWrap w:val="0"/>
            <w:vAlign w:val="center"/>
          </w:tcPr>
          <w:p w14:paraId="1AB621E8">
            <w:pPr>
              <w:pStyle w:val="294"/>
              <w:spacing w:line="360" w:lineRule="auto"/>
              <w:jc w:val="center"/>
              <w:rPr>
                <w:rFonts w:ascii="等线" w:hAnsi="等线" w:eastAsia="等线"/>
                <w:sz w:val="24"/>
                <w:szCs w:val="21"/>
                <w:highlight w:val="none"/>
              </w:rPr>
            </w:pPr>
          </w:p>
        </w:tc>
        <w:tc>
          <w:tcPr>
            <w:tcW w:w="1166" w:type="dxa"/>
            <w:noWrap w:val="0"/>
            <w:vAlign w:val="top"/>
          </w:tcPr>
          <w:p w14:paraId="1C32FBA1">
            <w:pPr>
              <w:pStyle w:val="294"/>
              <w:spacing w:line="360" w:lineRule="auto"/>
              <w:jc w:val="center"/>
              <w:rPr>
                <w:rFonts w:ascii="等线" w:hAnsi="等线" w:eastAsia="等线"/>
                <w:sz w:val="24"/>
                <w:szCs w:val="21"/>
                <w:highlight w:val="none"/>
              </w:rPr>
            </w:pPr>
          </w:p>
        </w:tc>
        <w:tc>
          <w:tcPr>
            <w:tcW w:w="779" w:type="dxa"/>
            <w:noWrap w:val="0"/>
            <w:vAlign w:val="center"/>
          </w:tcPr>
          <w:p w14:paraId="31AD2606">
            <w:pPr>
              <w:pStyle w:val="294"/>
              <w:spacing w:line="360" w:lineRule="auto"/>
              <w:jc w:val="center"/>
              <w:rPr>
                <w:rFonts w:ascii="等线" w:hAnsi="等线" w:eastAsia="等线"/>
                <w:sz w:val="24"/>
                <w:szCs w:val="21"/>
                <w:highlight w:val="none"/>
              </w:rPr>
            </w:pPr>
          </w:p>
        </w:tc>
        <w:tc>
          <w:tcPr>
            <w:tcW w:w="779" w:type="dxa"/>
            <w:noWrap w:val="0"/>
            <w:vAlign w:val="center"/>
          </w:tcPr>
          <w:p w14:paraId="248FAFBC">
            <w:pPr>
              <w:pStyle w:val="294"/>
              <w:spacing w:line="360" w:lineRule="auto"/>
              <w:jc w:val="center"/>
              <w:rPr>
                <w:rFonts w:ascii="等线" w:hAnsi="等线" w:eastAsia="等线"/>
                <w:sz w:val="24"/>
                <w:szCs w:val="21"/>
                <w:highlight w:val="none"/>
              </w:rPr>
            </w:pPr>
          </w:p>
        </w:tc>
        <w:tc>
          <w:tcPr>
            <w:tcW w:w="779" w:type="dxa"/>
            <w:noWrap w:val="0"/>
            <w:vAlign w:val="center"/>
          </w:tcPr>
          <w:p w14:paraId="77353285">
            <w:pPr>
              <w:pStyle w:val="294"/>
              <w:spacing w:line="360" w:lineRule="auto"/>
              <w:jc w:val="center"/>
              <w:rPr>
                <w:rFonts w:ascii="等线" w:hAnsi="等线" w:eastAsia="等线"/>
                <w:sz w:val="24"/>
                <w:szCs w:val="21"/>
                <w:highlight w:val="none"/>
              </w:rPr>
            </w:pPr>
          </w:p>
        </w:tc>
      </w:tr>
      <w:tr w14:paraId="64680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275" w:type="dxa"/>
            <w:noWrap w:val="0"/>
            <w:vAlign w:val="center"/>
          </w:tcPr>
          <w:p w14:paraId="68DAC8A3">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8</w:t>
            </w:r>
          </w:p>
        </w:tc>
        <w:tc>
          <w:tcPr>
            <w:tcW w:w="1218" w:type="dxa"/>
            <w:noWrap w:val="0"/>
            <w:vAlign w:val="center"/>
          </w:tcPr>
          <w:p w14:paraId="38D7EDC1">
            <w:pPr>
              <w:pStyle w:val="294"/>
              <w:spacing w:line="360" w:lineRule="auto"/>
              <w:jc w:val="center"/>
              <w:rPr>
                <w:rFonts w:ascii="等线" w:hAnsi="等线" w:eastAsia="等线"/>
                <w:sz w:val="24"/>
                <w:szCs w:val="21"/>
                <w:highlight w:val="none"/>
              </w:rPr>
            </w:pPr>
          </w:p>
        </w:tc>
        <w:tc>
          <w:tcPr>
            <w:tcW w:w="1166" w:type="dxa"/>
            <w:noWrap w:val="0"/>
            <w:vAlign w:val="top"/>
          </w:tcPr>
          <w:p w14:paraId="5A5571EA">
            <w:pPr>
              <w:pStyle w:val="294"/>
              <w:spacing w:line="360" w:lineRule="auto"/>
              <w:jc w:val="center"/>
              <w:rPr>
                <w:rFonts w:ascii="等线" w:hAnsi="等线" w:eastAsia="等线"/>
                <w:sz w:val="24"/>
                <w:szCs w:val="21"/>
                <w:highlight w:val="none"/>
              </w:rPr>
            </w:pPr>
          </w:p>
        </w:tc>
        <w:tc>
          <w:tcPr>
            <w:tcW w:w="779" w:type="dxa"/>
            <w:noWrap w:val="0"/>
            <w:vAlign w:val="center"/>
          </w:tcPr>
          <w:p w14:paraId="4B5330D3">
            <w:pPr>
              <w:pStyle w:val="294"/>
              <w:spacing w:line="360" w:lineRule="auto"/>
              <w:jc w:val="center"/>
              <w:rPr>
                <w:rFonts w:ascii="等线" w:hAnsi="等线" w:eastAsia="等线"/>
                <w:sz w:val="24"/>
                <w:szCs w:val="21"/>
                <w:highlight w:val="none"/>
              </w:rPr>
            </w:pPr>
          </w:p>
        </w:tc>
        <w:tc>
          <w:tcPr>
            <w:tcW w:w="779" w:type="dxa"/>
            <w:noWrap w:val="0"/>
            <w:vAlign w:val="center"/>
          </w:tcPr>
          <w:p w14:paraId="19592C49">
            <w:pPr>
              <w:pStyle w:val="294"/>
              <w:spacing w:line="360" w:lineRule="auto"/>
              <w:jc w:val="center"/>
              <w:rPr>
                <w:rFonts w:ascii="等线" w:hAnsi="等线" w:eastAsia="等线"/>
                <w:sz w:val="24"/>
                <w:szCs w:val="21"/>
                <w:highlight w:val="none"/>
              </w:rPr>
            </w:pPr>
          </w:p>
        </w:tc>
        <w:tc>
          <w:tcPr>
            <w:tcW w:w="779" w:type="dxa"/>
            <w:noWrap w:val="0"/>
            <w:vAlign w:val="center"/>
          </w:tcPr>
          <w:p w14:paraId="4CC9AB2C">
            <w:pPr>
              <w:pStyle w:val="294"/>
              <w:spacing w:line="360" w:lineRule="auto"/>
              <w:jc w:val="center"/>
              <w:rPr>
                <w:rFonts w:ascii="等线" w:hAnsi="等线" w:eastAsia="等线"/>
                <w:sz w:val="24"/>
                <w:szCs w:val="21"/>
                <w:highlight w:val="none"/>
              </w:rPr>
            </w:pPr>
          </w:p>
        </w:tc>
      </w:tr>
      <w:tr w14:paraId="40C55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275" w:type="dxa"/>
            <w:noWrap w:val="0"/>
            <w:vAlign w:val="center"/>
          </w:tcPr>
          <w:p w14:paraId="17A6BBC2">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9</w:t>
            </w:r>
          </w:p>
        </w:tc>
        <w:tc>
          <w:tcPr>
            <w:tcW w:w="1218" w:type="dxa"/>
            <w:noWrap w:val="0"/>
            <w:vAlign w:val="center"/>
          </w:tcPr>
          <w:p w14:paraId="76A372E6">
            <w:pPr>
              <w:pStyle w:val="294"/>
              <w:spacing w:line="360" w:lineRule="auto"/>
              <w:jc w:val="center"/>
              <w:rPr>
                <w:rFonts w:ascii="等线" w:hAnsi="等线" w:eastAsia="等线"/>
                <w:sz w:val="24"/>
                <w:szCs w:val="21"/>
                <w:highlight w:val="none"/>
              </w:rPr>
            </w:pPr>
          </w:p>
        </w:tc>
        <w:tc>
          <w:tcPr>
            <w:tcW w:w="1166" w:type="dxa"/>
            <w:noWrap w:val="0"/>
            <w:vAlign w:val="top"/>
          </w:tcPr>
          <w:p w14:paraId="5391A976">
            <w:pPr>
              <w:pStyle w:val="294"/>
              <w:spacing w:line="360" w:lineRule="auto"/>
              <w:jc w:val="center"/>
              <w:rPr>
                <w:rFonts w:ascii="等线" w:hAnsi="等线" w:eastAsia="等线"/>
                <w:sz w:val="24"/>
                <w:szCs w:val="21"/>
                <w:highlight w:val="none"/>
              </w:rPr>
            </w:pPr>
          </w:p>
        </w:tc>
        <w:tc>
          <w:tcPr>
            <w:tcW w:w="779" w:type="dxa"/>
            <w:noWrap w:val="0"/>
            <w:vAlign w:val="center"/>
          </w:tcPr>
          <w:p w14:paraId="7518EDF0">
            <w:pPr>
              <w:pStyle w:val="294"/>
              <w:spacing w:line="360" w:lineRule="auto"/>
              <w:jc w:val="center"/>
              <w:rPr>
                <w:rFonts w:ascii="等线" w:hAnsi="等线" w:eastAsia="等线"/>
                <w:sz w:val="24"/>
                <w:szCs w:val="21"/>
                <w:highlight w:val="none"/>
              </w:rPr>
            </w:pPr>
          </w:p>
        </w:tc>
        <w:tc>
          <w:tcPr>
            <w:tcW w:w="779" w:type="dxa"/>
            <w:noWrap w:val="0"/>
            <w:vAlign w:val="center"/>
          </w:tcPr>
          <w:p w14:paraId="2F09B612">
            <w:pPr>
              <w:pStyle w:val="294"/>
              <w:spacing w:line="360" w:lineRule="auto"/>
              <w:jc w:val="center"/>
              <w:rPr>
                <w:rFonts w:ascii="等线" w:hAnsi="等线" w:eastAsia="等线"/>
                <w:sz w:val="24"/>
                <w:szCs w:val="21"/>
                <w:highlight w:val="none"/>
              </w:rPr>
            </w:pPr>
          </w:p>
        </w:tc>
        <w:tc>
          <w:tcPr>
            <w:tcW w:w="779" w:type="dxa"/>
            <w:noWrap w:val="0"/>
            <w:vAlign w:val="center"/>
          </w:tcPr>
          <w:p w14:paraId="50999D69">
            <w:pPr>
              <w:pStyle w:val="294"/>
              <w:spacing w:line="360" w:lineRule="auto"/>
              <w:jc w:val="center"/>
              <w:rPr>
                <w:rFonts w:ascii="等线" w:hAnsi="等线" w:eastAsia="等线"/>
                <w:sz w:val="24"/>
                <w:szCs w:val="21"/>
                <w:highlight w:val="none"/>
              </w:rPr>
            </w:pPr>
          </w:p>
        </w:tc>
      </w:tr>
      <w:tr w14:paraId="1DC32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275" w:type="dxa"/>
            <w:noWrap w:val="0"/>
            <w:vAlign w:val="center"/>
          </w:tcPr>
          <w:p w14:paraId="030C2831">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10</w:t>
            </w:r>
          </w:p>
        </w:tc>
        <w:tc>
          <w:tcPr>
            <w:tcW w:w="1218" w:type="dxa"/>
            <w:noWrap w:val="0"/>
            <w:vAlign w:val="center"/>
          </w:tcPr>
          <w:p w14:paraId="2729766E">
            <w:pPr>
              <w:pStyle w:val="294"/>
              <w:spacing w:line="360" w:lineRule="auto"/>
              <w:jc w:val="center"/>
              <w:rPr>
                <w:rFonts w:ascii="等线" w:hAnsi="等线" w:eastAsia="等线"/>
                <w:sz w:val="24"/>
                <w:szCs w:val="21"/>
                <w:highlight w:val="none"/>
              </w:rPr>
            </w:pPr>
          </w:p>
        </w:tc>
        <w:tc>
          <w:tcPr>
            <w:tcW w:w="1166" w:type="dxa"/>
            <w:noWrap w:val="0"/>
            <w:vAlign w:val="top"/>
          </w:tcPr>
          <w:p w14:paraId="4D07F07B">
            <w:pPr>
              <w:pStyle w:val="294"/>
              <w:spacing w:line="360" w:lineRule="auto"/>
              <w:jc w:val="center"/>
              <w:rPr>
                <w:rFonts w:ascii="等线" w:hAnsi="等线" w:eastAsia="等线"/>
                <w:sz w:val="24"/>
                <w:szCs w:val="21"/>
                <w:highlight w:val="none"/>
              </w:rPr>
            </w:pPr>
          </w:p>
        </w:tc>
        <w:tc>
          <w:tcPr>
            <w:tcW w:w="779" w:type="dxa"/>
            <w:noWrap w:val="0"/>
            <w:vAlign w:val="center"/>
          </w:tcPr>
          <w:p w14:paraId="22836A99">
            <w:pPr>
              <w:pStyle w:val="294"/>
              <w:spacing w:line="360" w:lineRule="auto"/>
              <w:jc w:val="center"/>
              <w:rPr>
                <w:rFonts w:ascii="等线" w:hAnsi="等线" w:eastAsia="等线"/>
                <w:sz w:val="24"/>
                <w:szCs w:val="21"/>
                <w:highlight w:val="none"/>
              </w:rPr>
            </w:pPr>
          </w:p>
        </w:tc>
        <w:tc>
          <w:tcPr>
            <w:tcW w:w="779" w:type="dxa"/>
            <w:noWrap w:val="0"/>
            <w:vAlign w:val="center"/>
          </w:tcPr>
          <w:p w14:paraId="3A4FE8E0">
            <w:pPr>
              <w:pStyle w:val="294"/>
              <w:spacing w:line="360" w:lineRule="auto"/>
              <w:jc w:val="center"/>
              <w:rPr>
                <w:rFonts w:ascii="等线" w:hAnsi="等线" w:eastAsia="等线"/>
                <w:sz w:val="24"/>
                <w:szCs w:val="21"/>
                <w:highlight w:val="none"/>
              </w:rPr>
            </w:pPr>
          </w:p>
        </w:tc>
        <w:tc>
          <w:tcPr>
            <w:tcW w:w="779" w:type="dxa"/>
            <w:noWrap w:val="0"/>
            <w:vAlign w:val="center"/>
          </w:tcPr>
          <w:p w14:paraId="0A624402">
            <w:pPr>
              <w:pStyle w:val="294"/>
              <w:spacing w:line="360" w:lineRule="auto"/>
              <w:jc w:val="center"/>
              <w:rPr>
                <w:rFonts w:ascii="等线" w:hAnsi="等线" w:eastAsia="等线"/>
                <w:sz w:val="24"/>
                <w:szCs w:val="21"/>
                <w:highlight w:val="none"/>
              </w:rPr>
            </w:pPr>
          </w:p>
        </w:tc>
      </w:tr>
      <w:tr w14:paraId="625E5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275" w:type="dxa"/>
            <w:noWrap w:val="0"/>
            <w:vAlign w:val="center"/>
          </w:tcPr>
          <w:p w14:paraId="2FB4C18F">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11</w:t>
            </w:r>
          </w:p>
        </w:tc>
        <w:tc>
          <w:tcPr>
            <w:tcW w:w="1218" w:type="dxa"/>
            <w:noWrap w:val="0"/>
            <w:vAlign w:val="center"/>
          </w:tcPr>
          <w:p w14:paraId="245DD6FF">
            <w:pPr>
              <w:pStyle w:val="294"/>
              <w:spacing w:line="360" w:lineRule="auto"/>
              <w:jc w:val="center"/>
              <w:rPr>
                <w:rFonts w:ascii="等线" w:hAnsi="等线" w:eastAsia="等线"/>
                <w:sz w:val="24"/>
                <w:szCs w:val="21"/>
                <w:highlight w:val="none"/>
              </w:rPr>
            </w:pPr>
          </w:p>
        </w:tc>
        <w:tc>
          <w:tcPr>
            <w:tcW w:w="1166" w:type="dxa"/>
            <w:noWrap w:val="0"/>
            <w:vAlign w:val="top"/>
          </w:tcPr>
          <w:p w14:paraId="1EECF146">
            <w:pPr>
              <w:pStyle w:val="294"/>
              <w:spacing w:line="360" w:lineRule="auto"/>
              <w:jc w:val="center"/>
              <w:rPr>
                <w:rFonts w:ascii="等线" w:hAnsi="等线" w:eastAsia="等线"/>
                <w:sz w:val="24"/>
                <w:szCs w:val="21"/>
                <w:highlight w:val="none"/>
              </w:rPr>
            </w:pPr>
          </w:p>
        </w:tc>
        <w:tc>
          <w:tcPr>
            <w:tcW w:w="779" w:type="dxa"/>
            <w:noWrap w:val="0"/>
            <w:vAlign w:val="center"/>
          </w:tcPr>
          <w:p w14:paraId="4E438187">
            <w:pPr>
              <w:pStyle w:val="294"/>
              <w:spacing w:line="360" w:lineRule="auto"/>
              <w:jc w:val="center"/>
              <w:rPr>
                <w:rFonts w:ascii="等线" w:hAnsi="等线" w:eastAsia="等线"/>
                <w:sz w:val="24"/>
                <w:szCs w:val="21"/>
                <w:highlight w:val="none"/>
              </w:rPr>
            </w:pPr>
          </w:p>
        </w:tc>
        <w:tc>
          <w:tcPr>
            <w:tcW w:w="779" w:type="dxa"/>
            <w:noWrap w:val="0"/>
            <w:vAlign w:val="center"/>
          </w:tcPr>
          <w:p w14:paraId="6E89AF3D">
            <w:pPr>
              <w:pStyle w:val="294"/>
              <w:spacing w:line="360" w:lineRule="auto"/>
              <w:jc w:val="center"/>
              <w:rPr>
                <w:rFonts w:ascii="等线" w:hAnsi="等线" w:eastAsia="等线"/>
                <w:sz w:val="24"/>
                <w:szCs w:val="21"/>
                <w:highlight w:val="none"/>
              </w:rPr>
            </w:pPr>
          </w:p>
        </w:tc>
        <w:tc>
          <w:tcPr>
            <w:tcW w:w="779" w:type="dxa"/>
            <w:noWrap w:val="0"/>
            <w:vAlign w:val="center"/>
          </w:tcPr>
          <w:p w14:paraId="62D30911">
            <w:pPr>
              <w:pStyle w:val="294"/>
              <w:spacing w:line="360" w:lineRule="auto"/>
              <w:jc w:val="center"/>
              <w:rPr>
                <w:rFonts w:ascii="等线" w:hAnsi="等线" w:eastAsia="等线"/>
                <w:sz w:val="24"/>
                <w:szCs w:val="21"/>
                <w:highlight w:val="none"/>
              </w:rPr>
            </w:pPr>
          </w:p>
        </w:tc>
      </w:tr>
      <w:tr w14:paraId="1758D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275" w:type="dxa"/>
            <w:noWrap w:val="0"/>
            <w:vAlign w:val="center"/>
          </w:tcPr>
          <w:p w14:paraId="03205EC4">
            <w:pPr>
              <w:pStyle w:val="294"/>
              <w:spacing w:line="360" w:lineRule="auto"/>
              <w:jc w:val="center"/>
              <w:rPr>
                <w:rFonts w:ascii="等线" w:hAnsi="等线" w:eastAsia="等线"/>
                <w:sz w:val="24"/>
                <w:szCs w:val="21"/>
                <w:highlight w:val="none"/>
              </w:rPr>
            </w:pPr>
            <w:r>
              <w:rPr>
                <w:rFonts w:hint="eastAsia" w:ascii="等线" w:hAnsi="等线" w:eastAsia="等线"/>
                <w:sz w:val="24"/>
                <w:szCs w:val="21"/>
                <w:highlight w:val="none"/>
              </w:rPr>
              <w:t>12</w:t>
            </w:r>
          </w:p>
        </w:tc>
        <w:tc>
          <w:tcPr>
            <w:tcW w:w="1218" w:type="dxa"/>
            <w:noWrap w:val="0"/>
            <w:vAlign w:val="center"/>
          </w:tcPr>
          <w:p w14:paraId="7BE94FA1">
            <w:pPr>
              <w:pStyle w:val="294"/>
              <w:spacing w:line="360" w:lineRule="auto"/>
              <w:jc w:val="center"/>
              <w:rPr>
                <w:rFonts w:ascii="等线" w:hAnsi="等线" w:eastAsia="等线"/>
                <w:sz w:val="24"/>
                <w:szCs w:val="21"/>
                <w:highlight w:val="none"/>
              </w:rPr>
            </w:pPr>
          </w:p>
        </w:tc>
        <w:tc>
          <w:tcPr>
            <w:tcW w:w="1166" w:type="dxa"/>
            <w:noWrap w:val="0"/>
            <w:vAlign w:val="top"/>
          </w:tcPr>
          <w:p w14:paraId="36AAD79E">
            <w:pPr>
              <w:pStyle w:val="294"/>
              <w:spacing w:line="360" w:lineRule="auto"/>
              <w:jc w:val="center"/>
              <w:rPr>
                <w:rFonts w:ascii="等线" w:hAnsi="等线" w:eastAsia="等线"/>
                <w:sz w:val="24"/>
                <w:szCs w:val="21"/>
                <w:highlight w:val="none"/>
              </w:rPr>
            </w:pPr>
          </w:p>
        </w:tc>
        <w:tc>
          <w:tcPr>
            <w:tcW w:w="779" w:type="dxa"/>
            <w:noWrap w:val="0"/>
            <w:vAlign w:val="center"/>
          </w:tcPr>
          <w:p w14:paraId="0DEF3592">
            <w:pPr>
              <w:pStyle w:val="294"/>
              <w:spacing w:line="360" w:lineRule="auto"/>
              <w:jc w:val="center"/>
              <w:rPr>
                <w:rFonts w:ascii="等线" w:hAnsi="等线" w:eastAsia="等线"/>
                <w:sz w:val="24"/>
                <w:szCs w:val="21"/>
                <w:highlight w:val="none"/>
              </w:rPr>
            </w:pPr>
          </w:p>
        </w:tc>
        <w:tc>
          <w:tcPr>
            <w:tcW w:w="779" w:type="dxa"/>
            <w:noWrap w:val="0"/>
            <w:vAlign w:val="center"/>
          </w:tcPr>
          <w:p w14:paraId="5F6F2783">
            <w:pPr>
              <w:pStyle w:val="294"/>
              <w:spacing w:line="360" w:lineRule="auto"/>
              <w:jc w:val="center"/>
              <w:rPr>
                <w:rFonts w:ascii="等线" w:hAnsi="等线" w:eastAsia="等线"/>
                <w:sz w:val="24"/>
                <w:szCs w:val="21"/>
                <w:highlight w:val="none"/>
              </w:rPr>
            </w:pPr>
          </w:p>
        </w:tc>
        <w:tc>
          <w:tcPr>
            <w:tcW w:w="779" w:type="dxa"/>
            <w:noWrap w:val="0"/>
            <w:vAlign w:val="center"/>
          </w:tcPr>
          <w:p w14:paraId="56088D87">
            <w:pPr>
              <w:pStyle w:val="294"/>
              <w:spacing w:line="360" w:lineRule="auto"/>
              <w:jc w:val="center"/>
              <w:rPr>
                <w:rFonts w:ascii="等线" w:hAnsi="等线" w:eastAsia="等线"/>
                <w:sz w:val="24"/>
                <w:szCs w:val="21"/>
                <w:highlight w:val="none"/>
              </w:rPr>
            </w:pPr>
          </w:p>
        </w:tc>
      </w:tr>
    </w:tbl>
    <w:p w14:paraId="08BB83B9">
      <w:pPr>
        <w:pStyle w:val="294"/>
        <w:spacing w:line="360" w:lineRule="auto"/>
        <w:ind w:firstLine="480"/>
        <w:rPr>
          <w:rFonts w:ascii="等线" w:hAnsi="等线" w:eastAsia="等线"/>
          <w:sz w:val="24"/>
          <w:szCs w:val="21"/>
          <w:highlight w:val="none"/>
        </w:rPr>
      </w:pPr>
      <w:bookmarkStart w:id="360" w:name="_Hlk513642805"/>
      <w:r>
        <w:rPr>
          <w:rFonts w:hint="eastAsia" w:ascii="等线" w:hAnsi="等线" w:eastAsia="等线"/>
          <w:sz w:val="24"/>
          <w:szCs w:val="21"/>
          <w:highlight w:val="none"/>
        </w:rPr>
        <w:t>备注：</w:t>
      </w:r>
      <w:bookmarkEnd w:id="360"/>
    </w:p>
    <w:p w14:paraId="63B7999F">
      <w:pPr>
        <w:pStyle w:val="294"/>
        <w:spacing w:line="360" w:lineRule="auto"/>
        <w:ind w:firstLine="480"/>
        <w:rPr>
          <w:rFonts w:ascii="等线" w:hAnsi="等线" w:eastAsia="等线"/>
          <w:sz w:val="24"/>
          <w:szCs w:val="21"/>
          <w:highlight w:val="none"/>
        </w:rPr>
      </w:pPr>
      <w:r>
        <w:rPr>
          <w:rFonts w:hint="eastAsia" w:ascii="等线" w:hAnsi="等线" w:eastAsia="等线"/>
          <w:sz w:val="24"/>
          <w:szCs w:val="21"/>
          <w:highlight w:val="none"/>
        </w:rPr>
        <w:t>1、根据评分标准中关于类似业绩的描述，提供符合磋商文件要求的证明材料扫描件。</w:t>
      </w:r>
    </w:p>
    <w:p w14:paraId="12CDC2B1">
      <w:pPr>
        <w:pStyle w:val="294"/>
        <w:spacing w:line="360" w:lineRule="auto"/>
        <w:ind w:firstLine="480"/>
        <w:rPr>
          <w:highlight w:val="none"/>
        </w:rPr>
      </w:pPr>
      <w:r>
        <w:rPr>
          <w:rFonts w:hint="eastAsia" w:ascii="等线" w:hAnsi="等线" w:eastAsia="等线"/>
          <w:sz w:val="24"/>
          <w:szCs w:val="21"/>
          <w:highlight w:val="none"/>
        </w:rPr>
        <w:t>2、行数不够，自行添加。</w:t>
      </w:r>
    </w:p>
    <w:p w14:paraId="74496D12">
      <w:pPr>
        <w:pStyle w:val="314"/>
        <w:jc w:val="center"/>
        <w:outlineLvl w:val="2"/>
        <w:rPr>
          <w:highlight w:val="none"/>
        </w:rPr>
      </w:pPr>
      <w:r>
        <w:rPr>
          <w:highlight w:val="none"/>
        </w:rPr>
        <w:br w:type="page" w:clear="all"/>
      </w:r>
    </w:p>
    <w:p w14:paraId="183B8C94">
      <w:pPr>
        <w:pStyle w:val="297"/>
        <w:jc w:val="center"/>
        <w:outlineLvl w:val="2"/>
        <w:rPr>
          <w:highlight w:val="none"/>
        </w:rPr>
      </w:pPr>
      <w:bookmarkStart w:id="361" w:name="_Toc25775"/>
      <w:r>
        <w:rPr>
          <w:rFonts w:ascii="宋体" w:hAnsi="宋体" w:eastAsia="宋体" w:cs="宋体"/>
          <w:b/>
          <w:bCs/>
          <w:sz w:val="28"/>
          <w:highlight w:val="none"/>
        </w:rPr>
        <w:t>(</w:t>
      </w:r>
      <w:r>
        <w:rPr>
          <w:rFonts w:hint="eastAsia" w:ascii="宋体" w:hAnsi="宋体" w:eastAsia="宋体" w:cs="宋体"/>
          <w:b/>
          <w:bCs/>
          <w:sz w:val="28"/>
          <w:highlight w:val="none"/>
          <w:lang w:val="en-US" w:eastAsia="zh-CN"/>
        </w:rPr>
        <w:t>四</w:t>
      </w:r>
      <w:r>
        <w:rPr>
          <w:rFonts w:ascii="宋体" w:hAnsi="宋体" w:eastAsia="宋体" w:cs="宋体"/>
          <w:b/>
          <w:bCs/>
          <w:sz w:val="28"/>
          <w:highlight w:val="none"/>
        </w:rPr>
        <w:t>)首次报价一览表</w:t>
      </w:r>
      <w:bookmarkEnd w:id="361"/>
    </w:p>
    <w:p w14:paraId="3B692D03">
      <w:pPr>
        <w:pStyle w:val="298"/>
        <w:jc w:val="center"/>
        <w:rPr>
          <w:rFonts w:ascii="宋体" w:hAnsi="宋体" w:eastAsia="宋体" w:cs="宋体"/>
          <w:sz w:val="32"/>
          <w:szCs w:val="32"/>
          <w:highlight w:val="none"/>
        </w:rPr>
      </w:pPr>
      <w:r>
        <w:rPr>
          <w:rFonts w:ascii="宋体" w:hAnsi="宋体" w:eastAsia="宋体" w:cs="宋体"/>
          <w:highlight w:val="none"/>
        </w:rPr>
        <w:t>﻿</w:t>
      </w:r>
    </w:p>
    <w:p w14:paraId="3D51C78F">
      <w:pPr>
        <w:pStyle w:val="231"/>
        <w:rPr>
          <w:highlight w:val="none"/>
        </w:rPr>
      </w:pPr>
      <w:r>
        <w:rPr>
          <w:highlight w:val="none"/>
        </w:rPr>
        <w:t>货币单位：人民币元</w:t>
      </w:r>
    </w:p>
    <w:p w14:paraId="77FDA4F1">
      <w:pPr>
        <w:pStyle w:val="231"/>
        <w:rPr>
          <w:highlight w:val="none"/>
          <w:lang w:val="en-US" w:eastAsia="zh-CN"/>
        </w:rPr>
      </w:pPr>
      <w:r>
        <w:rPr>
          <w:highlight w:val="none"/>
        </w:rPr>
        <w:t>项目编号：</w:t>
      </w:r>
      <w:r>
        <w:rPr>
          <w:rFonts w:hint="eastAsia"/>
          <w:highlight w:val="none"/>
          <w:lang w:val="en-US" w:eastAsia="zh-CN"/>
        </w:rPr>
        <w:t xml:space="preserve"> </w:t>
      </w:r>
    </w:p>
    <w:tbl>
      <w:tblPr>
        <w:tblStyle w:val="33"/>
        <w:tblW w:w="0" w:type="auto"/>
        <w:tblCellSpacing w:w="15"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15" w:type="dxa"/>
          <w:left w:w="15" w:type="dxa"/>
          <w:bottom w:w="15" w:type="dxa"/>
          <w:right w:w="15" w:type="dxa"/>
        </w:tblCellMar>
      </w:tblPr>
      <w:tblGrid>
        <w:gridCol w:w="2776"/>
        <w:gridCol w:w="2660"/>
        <w:gridCol w:w="4032"/>
      </w:tblGrid>
      <w:tr w14:paraId="410A7CA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blCellSpacing w:w="15" w:type="dxa"/>
        </w:trPr>
        <w:tc>
          <w:tcPr>
            <w:tcW w:w="2731" w:type="dxa"/>
            <w:noWrap w:val="0"/>
            <w:vAlign w:val="center"/>
          </w:tcPr>
          <w:p w14:paraId="7B117145">
            <w:pPr>
              <w:pStyle w:val="231"/>
              <w:rPr>
                <w:highlight w:val="none"/>
              </w:rPr>
            </w:pPr>
            <w:r>
              <w:rPr>
                <w:highlight w:val="none"/>
              </w:rPr>
              <w:t>项目名称</w:t>
            </w:r>
          </w:p>
        </w:tc>
        <w:tc>
          <w:tcPr>
            <w:tcW w:w="2630" w:type="dxa"/>
            <w:noWrap w:val="0"/>
            <w:vAlign w:val="center"/>
          </w:tcPr>
          <w:p w14:paraId="094E2638">
            <w:pPr>
              <w:pStyle w:val="231"/>
              <w:rPr>
                <w:highlight w:val="none"/>
              </w:rPr>
            </w:pPr>
            <w:r>
              <w:rPr>
                <w:highlight w:val="none"/>
              </w:rPr>
              <w:t>项目内容</w:t>
            </w:r>
          </w:p>
        </w:tc>
        <w:tc>
          <w:tcPr>
            <w:tcW w:w="3937" w:type="dxa"/>
            <w:noWrap w:val="0"/>
            <w:vAlign w:val="center"/>
          </w:tcPr>
          <w:p w14:paraId="58B20B5C">
            <w:pPr>
              <w:pStyle w:val="231"/>
              <w:rPr>
                <w:highlight w:val="none"/>
              </w:rPr>
            </w:pPr>
            <w:r>
              <w:rPr>
                <w:highlight w:val="none"/>
              </w:rPr>
              <w:t>总价（小写）</w:t>
            </w:r>
          </w:p>
        </w:tc>
      </w:tr>
      <w:tr w14:paraId="6A6A508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831" w:hRule="atLeast"/>
          <w:tblCellSpacing w:w="15" w:type="dxa"/>
        </w:trPr>
        <w:tc>
          <w:tcPr>
            <w:tcW w:w="2731" w:type="dxa"/>
            <w:noWrap w:val="0"/>
            <w:vAlign w:val="center"/>
          </w:tcPr>
          <w:p w14:paraId="680B8325">
            <w:pPr>
              <w:pStyle w:val="231"/>
              <w:rPr>
                <w:rFonts w:hint="eastAsia" w:eastAsia="宋体"/>
                <w:highlight w:val="none"/>
                <w:lang w:eastAsia="zh-CN"/>
              </w:rPr>
            </w:pPr>
            <w:r>
              <w:rPr>
                <w:rFonts w:hint="eastAsia"/>
                <w:highlight w:val="none"/>
                <w:lang w:eastAsia="zh-CN"/>
              </w:rPr>
              <w:t>丹阳市人民医院高压配电房及10KV高压专线（双路）运维服务项目</w:t>
            </w:r>
          </w:p>
        </w:tc>
        <w:tc>
          <w:tcPr>
            <w:tcW w:w="2630" w:type="dxa"/>
            <w:noWrap w:val="0"/>
            <w:vAlign w:val="center"/>
          </w:tcPr>
          <w:p w14:paraId="677CB3FB">
            <w:pPr>
              <w:pStyle w:val="231"/>
              <w:rPr>
                <w:highlight w:val="none"/>
              </w:rPr>
            </w:pPr>
            <w:r>
              <w:rPr>
                <w:highlight w:val="none"/>
              </w:rPr>
              <w:t>详见响应文件</w:t>
            </w:r>
          </w:p>
        </w:tc>
        <w:tc>
          <w:tcPr>
            <w:tcW w:w="3937" w:type="dxa"/>
            <w:noWrap w:val="0"/>
            <w:vAlign w:val="center"/>
          </w:tcPr>
          <w:p w14:paraId="39805E25">
            <w:pPr>
              <w:pStyle w:val="231"/>
              <w:rPr>
                <w:highlight w:val="none"/>
              </w:rPr>
            </w:pPr>
            <w:r>
              <w:rPr>
                <w:highlight w:val="none"/>
              </w:rPr>
              <w:t> 元</w:t>
            </w:r>
          </w:p>
        </w:tc>
      </w:tr>
      <w:tr w14:paraId="32C2708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blCellSpacing w:w="15" w:type="dxa"/>
        </w:trPr>
        <w:tc>
          <w:tcPr>
            <w:tcW w:w="9408" w:type="dxa"/>
            <w:gridSpan w:val="3"/>
            <w:noWrap w:val="0"/>
            <w:vAlign w:val="center"/>
          </w:tcPr>
          <w:p w14:paraId="3907DDB7">
            <w:pPr>
              <w:pStyle w:val="231"/>
              <w:rPr>
                <w:highlight w:val="none"/>
              </w:rPr>
            </w:pPr>
            <w:r>
              <w:rPr>
                <w:highlight w:val="none"/>
              </w:rPr>
              <w:t>总价（大写）：</w:t>
            </w:r>
          </w:p>
        </w:tc>
      </w:tr>
    </w:tbl>
    <w:p w14:paraId="750026BD">
      <w:pPr>
        <w:pStyle w:val="231"/>
        <w:rPr>
          <w:highlight w:val="none"/>
        </w:rPr>
      </w:pPr>
      <w:r>
        <w:rPr>
          <w:highlight w:val="none"/>
        </w:rPr>
        <w:t>报价说明：</w:t>
      </w:r>
    </w:p>
    <w:p w14:paraId="4863E4A6">
      <w:pPr>
        <w:pStyle w:val="231"/>
        <w:rPr>
          <w:highlight w:val="none"/>
        </w:rPr>
      </w:pPr>
      <w:r>
        <w:rPr>
          <w:highlight w:val="none"/>
        </w:rPr>
        <w:t>1、报价包括完成项目的所有费用。采购人不再支付报价以外的任何费用。</w:t>
      </w:r>
    </w:p>
    <w:p w14:paraId="63DF5726">
      <w:pPr>
        <w:pStyle w:val="231"/>
        <w:rPr>
          <w:highlight w:val="none"/>
        </w:rPr>
      </w:pPr>
      <w:r>
        <w:rPr>
          <w:highlight w:val="none"/>
        </w:rPr>
        <w:t>2、报价以总价为准，大小写不一致以大写为准；</w:t>
      </w:r>
    </w:p>
    <w:p w14:paraId="7E46A778">
      <w:pPr>
        <w:pStyle w:val="231"/>
        <w:rPr>
          <w:highlight w:val="none"/>
        </w:rPr>
      </w:pPr>
      <w:r>
        <w:rPr>
          <w:highlight w:val="none"/>
        </w:rPr>
        <w:t>3、偏离说明：详见《偏离表》；</w:t>
      </w:r>
    </w:p>
    <w:p w14:paraId="460285F8">
      <w:pPr>
        <w:pStyle w:val="231"/>
        <w:jc w:val="right"/>
        <w:rPr>
          <w:highlight w:val="none"/>
        </w:rPr>
      </w:pPr>
      <w:r>
        <w:rPr>
          <w:highlight w:val="none"/>
        </w:rPr>
        <w:t>响应单位（公章）：</w:t>
      </w:r>
    </w:p>
    <w:p w14:paraId="22EB9E76">
      <w:pPr>
        <w:pStyle w:val="231"/>
        <w:rPr>
          <w:highlight w:val="none"/>
        </w:rPr>
      </w:pPr>
      <w:r>
        <w:rPr>
          <w:highlight w:val="none"/>
        </w:rPr>
        <w:t> </w:t>
      </w:r>
    </w:p>
    <w:p w14:paraId="1D868F61">
      <w:pPr>
        <w:pStyle w:val="231"/>
        <w:rPr>
          <w:highlight w:val="none"/>
        </w:rPr>
      </w:pPr>
      <w:r>
        <w:rPr>
          <w:highlight w:val="none"/>
        </w:rPr>
        <w:t> </w:t>
      </w:r>
    </w:p>
    <w:p w14:paraId="2F52372D">
      <w:pPr>
        <w:pStyle w:val="231"/>
        <w:rPr>
          <w:highlight w:val="none"/>
        </w:rPr>
      </w:pPr>
      <w:r>
        <w:rPr>
          <w:highlight w:val="none"/>
        </w:rPr>
        <w:t> </w:t>
      </w:r>
    </w:p>
    <w:p w14:paraId="4C98CD6B">
      <w:pPr>
        <w:pStyle w:val="231"/>
        <w:rPr>
          <w:highlight w:val="none"/>
        </w:rPr>
      </w:pPr>
    </w:p>
    <w:p w14:paraId="34F8B487">
      <w:pPr>
        <w:pStyle w:val="231"/>
        <w:rPr>
          <w:highlight w:val="none"/>
        </w:rPr>
      </w:pPr>
    </w:p>
    <w:p w14:paraId="21343F0E">
      <w:pPr>
        <w:pStyle w:val="231"/>
        <w:rPr>
          <w:highlight w:val="none"/>
        </w:rPr>
      </w:pPr>
    </w:p>
    <w:p w14:paraId="6508CFE1">
      <w:pPr>
        <w:pStyle w:val="231"/>
        <w:rPr>
          <w:highlight w:val="none"/>
        </w:rPr>
      </w:pPr>
    </w:p>
    <w:p w14:paraId="54A4E975">
      <w:pPr>
        <w:pStyle w:val="231"/>
        <w:rPr>
          <w:highlight w:val="none"/>
        </w:rPr>
      </w:pPr>
    </w:p>
    <w:p w14:paraId="7C75BFC8">
      <w:pPr>
        <w:pStyle w:val="231"/>
        <w:rPr>
          <w:rFonts w:hint="eastAsia"/>
          <w:highlight w:val="none"/>
        </w:rPr>
      </w:pPr>
    </w:p>
    <w:p w14:paraId="459EF8D9">
      <w:pPr>
        <w:pStyle w:val="299"/>
        <w:jc w:val="center"/>
        <w:outlineLvl w:val="2"/>
        <w:rPr>
          <w:rFonts w:ascii="宋体" w:hAnsi="宋体" w:eastAsia="宋体" w:cs="宋体"/>
          <w:sz w:val="28"/>
          <w:highlight w:val="none"/>
        </w:rPr>
      </w:pPr>
    </w:p>
    <w:p w14:paraId="0F259D14">
      <w:pPr>
        <w:pStyle w:val="299"/>
        <w:jc w:val="center"/>
        <w:outlineLvl w:val="2"/>
        <w:rPr>
          <w:rFonts w:ascii="宋体" w:hAnsi="宋体" w:eastAsia="宋体" w:cs="宋体"/>
          <w:sz w:val="28"/>
          <w:highlight w:val="none"/>
        </w:rPr>
      </w:pPr>
    </w:p>
    <w:p w14:paraId="4D316197">
      <w:pPr>
        <w:pStyle w:val="299"/>
        <w:jc w:val="center"/>
        <w:outlineLvl w:val="2"/>
        <w:rPr>
          <w:b/>
          <w:bCs/>
          <w:highlight w:val="none"/>
        </w:rPr>
      </w:pPr>
      <w:bookmarkStart w:id="362" w:name="_Toc805"/>
      <w:r>
        <w:rPr>
          <w:rFonts w:ascii="宋体" w:hAnsi="宋体" w:eastAsia="宋体" w:cs="宋体"/>
          <w:b/>
          <w:bCs/>
          <w:sz w:val="28"/>
          <w:highlight w:val="none"/>
        </w:rPr>
        <w:t>(</w:t>
      </w:r>
      <w:r>
        <w:rPr>
          <w:rFonts w:hint="eastAsia" w:ascii="宋体" w:hAnsi="宋体" w:eastAsia="宋体" w:cs="宋体"/>
          <w:b/>
          <w:bCs/>
          <w:sz w:val="28"/>
          <w:highlight w:val="none"/>
          <w:lang w:val="en-US" w:eastAsia="zh-CN"/>
        </w:rPr>
        <w:t>五</w:t>
      </w:r>
      <w:r>
        <w:rPr>
          <w:rFonts w:ascii="宋体" w:hAnsi="宋体" w:eastAsia="宋体" w:cs="宋体"/>
          <w:b/>
          <w:bCs/>
          <w:sz w:val="28"/>
          <w:highlight w:val="none"/>
        </w:rPr>
        <w:t>)首次明细报价表</w:t>
      </w:r>
      <w:bookmarkEnd w:id="362"/>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289"/>
        <w:gridCol w:w="2497"/>
        <w:gridCol w:w="875"/>
        <w:gridCol w:w="939"/>
        <w:gridCol w:w="3525"/>
      </w:tblGrid>
      <w:tr w14:paraId="566CE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582" w:type="dxa"/>
            <w:gridSpan w:val="6"/>
            <w:noWrap w:val="0"/>
            <w:vAlign w:val="center"/>
          </w:tcPr>
          <w:p w14:paraId="6BF955FD">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一、服务部分</w:t>
            </w:r>
          </w:p>
        </w:tc>
      </w:tr>
      <w:tr w14:paraId="461C9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9" w:type="dxa"/>
            <w:noWrap w:val="0"/>
            <w:vAlign w:val="center"/>
          </w:tcPr>
          <w:p w14:paraId="354ECA6A">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序号</w:t>
            </w:r>
          </w:p>
        </w:tc>
        <w:tc>
          <w:tcPr>
            <w:tcW w:w="1331" w:type="dxa"/>
            <w:noWrap w:val="0"/>
            <w:vAlign w:val="center"/>
          </w:tcPr>
          <w:p w14:paraId="264C01AC">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名称</w:t>
            </w:r>
          </w:p>
        </w:tc>
        <w:tc>
          <w:tcPr>
            <w:tcW w:w="2145" w:type="dxa"/>
            <w:noWrap w:val="0"/>
            <w:vAlign w:val="center"/>
          </w:tcPr>
          <w:p w14:paraId="0F56DDA3">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服务内容</w:t>
            </w:r>
          </w:p>
        </w:tc>
        <w:tc>
          <w:tcPr>
            <w:tcW w:w="896" w:type="dxa"/>
            <w:noWrap w:val="0"/>
            <w:vAlign w:val="center"/>
          </w:tcPr>
          <w:p w14:paraId="26C0F0DA">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服务期</w:t>
            </w:r>
          </w:p>
        </w:tc>
        <w:tc>
          <w:tcPr>
            <w:tcW w:w="797" w:type="dxa"/>
            <w:noWrap w:val="0"/>
            <w:vAlign w:val="center"/>
          </w:tcPr>
          <w:p w14:paraId="4F226415">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价格（元）</w:t>
            </w:r>
          </w:p>
        </w:tc>
        <w:tc>
          <w:tcPr>
            <w:tcW w:w="578" w:type="dxa"/>
            <w:noWrap w:val="0"/>
            <w:vAlign w:val="center"/>
          </w:tcPr>
          <w:p w14:paraId="3D73A521">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备注</w:t>
            </w:r>
          </w:p>
        </w:tc>
      </w:tr>
      <w:tr w14:paraId="6BECF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9" w:type="dxa"/>
            <w:noWrap w:val="0"/>
            <w:vAlign w:val="center"/>
          </w:tcPr>
          <w:p w14:paraId="68297CA0">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1</w:t>
            </w:r>
          </w:p>
        </w:tc>
        <w:tc>
          <w:tcPr>
            <w:tcW w:w="1331" w:type="dxa"/>
            <w:noWrap w:val="0"/>
            <w:vAlign w:val="center"/>
          </w:tcPr>
          <w:p w14:paraId="09331614">
            <w:pPr>
              <w:pStyle w:val="300"/>
              <w:spacing w:line="360" w:lineRule="auto"/>
              <w:jc w:val="center"/>
              <w:rPr>
                <w:rFonts w:ascii="宋体" w:hAnsi="宋体"/>
                <w:b/>
                <w:color w:val="000000"/>
                <w:sz w:val="24"/>
                <w:szCs w:val="24"/>
                <w:highlight w:val="none"/>
              </w:rPr>
            </w:pPr>
          </w:p>
        </w:tc>
        <w:tc>
          <w:tcPr>
            <w:tcW w:w="2145" w:type="dxa"/>
            <w:noWrap w:val="0"/>
            <w:vAlign w:val="center"/>
          </w:tcPr>
          <w:p w14:paraId="354F1BE8">
            <w:pPr>
              <w:pStyle w:val="300"/>
              <w:spacing w:line="360" w:lineRule="auto"/>
              <w:jc w:val="center"/>
              <w:rPr>
                <w:rFonts w:ascii="宋体" w:hAnsi="宋体"/>
                <w:b/>
                <w:color w:val="000000"/>
                <w:sz w:val="24"/>
                <w:szCs w:val="24"/>
                <w:highlight w:val="none"/>
              </w:rPr>
            </w:pPr>
          </w:p>
        </w:tc>
        <w:tc>
          <w:tcPr>
            <w:tcW w:w="896" w:type="dxa"/>
            <w:noWrap w:val="0"/>
            <w:vAlign w:val="center"/>
          </w:tcPr>
          <w:p w14:paraId="469C456C">
            <w:pPr>
              <w:pStyle w:val="300"/>
              <w:spacing w:line="360" w:lineRule="auto"/>
              <w:jc w:val="center"/>
              <w:rPr>
                <w:rFonts w:ascii="宋体" w:hAnsi="宋体"/>
                <w:b/>
                <w:color w:val="000000"/>
                <w:sz w:val="24"/>
                <w:szCs w:val="24"/>
                <w:highlight w:val="none"/>
              </w:rPr>
            </w:pPr>
          </w:p>
        </w:tc>
        <w:tc>
          <w:tcPr>
            <w:tcW w:w="797" w:type="dxa"/>
            <w:noWrap w:val="0"/>
            <w:vAlign w:val="center"/>
          </w:tcPr>
          <w:p w14:paraId="01A12A4E">
            <w:pPr>
              <w:pStyle w:val="300"/>
              <w:spacing w:line="360" w:lineRule="auto"/>
              <w:jc w:val="center"/>
              <w:rPr>
                <w:rFonts w:ascii="宋体" w:hAnsi="宋体"/>
                <w:b/>
                <w:color w:val="000000"/>
                <w:sz w:val="24"/>
                <w:szCs w:val="24"/>
                <w:highlight w:val="none"/>
              </w:rPr>
            </w:pPr>
          </w:p>
        </w:tc>
        <w:tc>
          <w:tcPr>
            <w:tcW w:w="578" w:type="dxa"/>
            <w:noWrap w:val="0"/>
            <w:vAlign w:val="center"/>
          </w:tcPr>
          <w:p w14:paraId="45D2EDCD">
            <w:pPr>
              <w:pStyle w:val="300"/>
              <w:spacing w:line="360" w:lineRule="auto"/>
              <w:jc w:val="center"/>
              <w:rPr>
                <w:rFonts w:ascii="宋体" w:hAnsi="宋体"/>
                <w:b/>
                <w:color w:val="000000"/>
                <w:sz w:val="24"/>
                <w:szCs w:val="24"/>
                <w:highlight w:val="none"/>
              </w:rPr>
            </w:pPr>
          </w:p>
        </w:tc>
      </w:tr>
      <w:tr w14:paraId="6292F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9" w:type="dxa"/>
            <w:noWrap w:val="0"/>
            <w:vAlign w:val="center"/>
          </w:tcPr>
          <w:p w14:paraId="0A05E5EE">
            <w:pPr>
              <w:pStyle w:val="300"/>
              <w:spacing w:line="360" w:lineRule="auto"/>
              <w:jc w:val="center"/>
              <w:rPr>
                <w:rFonts w:hint="eastAsia" w:ascii="宋体" w:hAnsi="宋体"/>
                <w:b/>
                <w:color w:val="000000"/>
                <w:sz w:val="24"/>
                <w:szCs w:val="24"/>
                <w:highlight w:val="none"/>
              </w:rPr>
            </w:pPr>
            <w:r>
              <w:rPr>
                <w:rFonts w:hint="eastAsia" w:ascii="宋体" w:hAnsi="宋体"/>
                <w:b/>
                <w:color w:val="000000"/>
                <w:sz w:val="24"/>
                <w:szCs w:val="24"/>
                <w:highlight w:val="none"/>
              </w:rPr>
              <w:t>2</w:t>
            </w:r>
          </w:p>
        </w:tc>
        <w:tc>
          <w:tcPr>
            <w:tcW w:w="1331" w:type="dxa"/>
            <w:noWrap w:val="0"/>
            <w:vAlign w:val="center"/>
          </w:tcPr>
          <w:p w14:paraId="53A20C71">
            <w:pPr>
              <w:pStyle w:val="300"/>
              <w:spacing w:line="360" w:lineRule="auto"/>
              <w:jc w:val="center"/>
              <w:rPr>
                <w:rFonts w:ascii="宋体" w:hAnsi="宋体"/>
                <w:b/>
                <w:color w:val="000000"/>
                <w:sz w:val="24"/>
                <w:szCs w:val="24"/>
                <w:highlight w:val="none"/>
              </w:rPr>
            </w:pPr>
          </w:p>
        </w:tc>
        <w:tc>
          <w:tcPr>
            <w:tcW w:w="2145" w:type="dxa"/>
            <w:noWrap w:val="0"/>
            <w:vAlign w:val="center"/>
          </w:tcPr>
          <w:p w14:paraId="53405929">
            <w:pPr>
              <w:pStyle w:val="300"/>
              <w:spacing w:line="360" w:lineRule="auto"/>
              <w:jc w:val="center"/>
              <w:rPr>
                <w:rFonts w:ascii="宋体" w:hAnsi="宋体"/>
                <w:b/>
                <w:color w:val="000000"/>
                <w:sz w:val="24"/>
                <w:szCs w:val="24"/>
                <w:highlight w:val="none"/>
              </w:rPr>
            </w:pPr>
          </w:p>
        </w:tc>
        <w:tc>
          <w:tcPr>
            <w:tcW w:w="896" w:type="dxa"/>
            <w:noWrap w:val="0"/>
            <w:vAlign w:val="center"/>
          </w:tcPr>
          <w:p w14:paraId="015D1AE5">
            <w:pPr>
              <w:pStyle w:val="300"/>
              <w:spacing w:line="360" w:lineRule="auto"/>
              <w:jc w:val="center"/>
              <w:rPr>
                <w:rFonts w:ascii="宋体" w:hAnsi="宋体"/>
                <w:b/>
                <w:color w:val="000000"/>
                <w:sz w:val="24"/>
                <w:szCs w:val="24"/>
                <w:highlight w:val="none"/>
              </w:rPr>
            </w:pPr>
          </w:p>
        </w:tc>
        <w:tc>
          <w:tcPr>
            <w:tcW w:w="797" w:type="dxa"/>
            <w:noWrap w:val="0"/>
            <w:vAlign w:val="center"/>
          </w:tcPr>
          <w:p w14:paraId="7ACDB9FA">
            <w:pPr>
              <w:pStyle w:val="300"/>
              <w:spacing w:line="360" w:lineRule="auto"/>
              <w:jc w:val="center"/>
              <w:rPr>
                <w:rFonts w:ascii="宋体" w:hAnsi="宋体"/>
                <w:b/>
                <w:color w:val="000000"/>
                <w:sz w:val="24"/>
                <w:szCs w:val="24"/>
                <w:highlight w:val="none"/>
              </w:rPr>
            </w:pPr>
          </w:p>
        </w:tc>
        <w:tc>
          <w:tcPr>
            <w:tcW w:w="578" w:type="dxa"/>
            <w:noWrap w:val="0"/>
            <w:vAlign w:val="center"/>
          </w:tcPr>
          <w:p w14:paraId="6B03CA3C">
            <w:pPr>
              <w:pStyle w:val="300"/>
              <w:spacing w:line="360" w:lineRule="auto"/>
              <w:jc w:val="center"/>
              <w:rPr>
                <w:rFonts w:ascii="宋体" w:hAnsi="宋体"/>
                <w:b/>
                <w:color w:val="000000"/>
                <w:sz w:val="24"/>
                <w:szCs w:val="24"/>
                <w:highlight w:val="none"/>
              </w:rPr>
            </w:pPr>
          </w:p>
        </w:tc>
      </w:tr>
      <w:tr w14:paraId="03B57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9" w:type="dxa"/>
            <w:noWrap w:val="0"/>
            <w:vAlign w:val="center"/>
          </w:tcPr>
          <w:p w14:paraId="037E9613">
            <w:pPr>
              <w:pStyle w:val="300"/>
              <w:spacing w:line="360" w:lineRule="auto"/>
              <w:jc w:val="center"/>
              <w:rPr>
                <w:rFonts w:hint="eastAsia" w:ascii="宋体" w:hAnsi="宋体"/>
                <w:b/>
                <w:color w:val="000000"/>
                <w:sz w:val="24"/>
                <w:szCs w:val="24"/>
                <w:highlight w:val="none"/>
              </w:rPr>
            </w:pPr>
            <w:r>
              <w:rPr>
                <w:rFonts w:hint="eastAsia" w:ascii="宋体" w:hAnsi="宋体"/>
                <w:b/>
                <w:color w:val="000000"/>
                <w:sz w:val="24"/>
                <w:szCs w:val="24"/>
                <w:highlight w:val="none"/>
              </w:rPr>
              <w:t>3</w:t>
            </w:r>
          </w:p>
        </w:tc>
        <w:tc>
          <w:tcPr>
            <w:tcW w:w="1331" w:type="dxa"/>
            <w:noWrap w:val="0"/>
            <w:vAlign w:val="center"/>
          </w:tcPr>
          <w:p w14:paraId="5F08A46C">
            <w:pPr>
              <w:pStyle w:val="300"/>
              <w:spacing w:line="360" w:lineRule="auto"/>
              <w:jc w:val="center"/>
              <w:rPr>
                <w:rFonts w:ascii="宋体" w:hAnsi="宋体"/>
                <w:b/>
                <w:color w:val="000000"/>
                <w:sz w:val="24"/>
                <w:szCs w:val="24"/>
                <w:highlight w:val="none"/>
              </w:rPr>
            </w:pPr>
          </w:p>
        </w:tc>
        <w:tc>
          <w:tcPr>
            <w:tcW w:w="2145" w:type="dxa"/>
            <w:noWrap w:val="0"/>
            <w:vAlign w:val="center"/>
          </w:tcPr>
          <w:p w14:paraId="312B808B">
            <w:pPr>
              <w:pStyle w:val="300"/>
              <w:spacing w:line="360" w:lineRule="auto"/>
              <w:jc w:val="center"/>
              <w:rPr>
                <w:rFonts w:ascii="宋体" w:hAnsi="宋体"/>
                <w:b/>
                <w:color w:val="000000"/>
                <w:sz w:val="24"/>
                <w:szCs w:val="24"/>
                <w:highlight w:val="none"/>
              </w:rPr>
            </w:pPr>
          </w:p>
        </w:tc>
        <w:tc>
          <w:tcPr>
            <w:tcW w:w="896" w:type="dxa"/>
            <w:noWrap w:val="0"/>
            <w:vAlign w:val="center"/>
          </w:tcPr>
          <w:p w14:paraId="0D88EC5B">
            <w:pPr>
              <w:pStyle w:val="300"/>
              <w:spacing w:line="360" w:lineRule="auto"/>
              <w:jc w:val="center"/>
              <w:rPr>
                <w:rFonts w:ascii="宋体" w:hAnsi="宋体"/>
                <w:b/>
                <w:color w:val="000000"/>
                <w:sz w:val="24"/>
                <w:szCs w:val="24"/>
                <w:highlight w:val="none"/>
              </w:rPr>
            </w:pPr>
          </w:p>
        </w:tc>
        <w:tc>
          <w:tcPr>
            <w:tcW w:w="797" w:type="dxa"/>
            <w:noWrap w:val="0"/>
            <w:vAlign w:val="center"/>
          </w:tcPr>
          <w:p w14:paraId="4C1590C9">
            <w:pPr>
              <w:pStyle w:val="300"/>
              <w:spacing w:line="360" w:lineRule="auto"/>
              <w:jc w:val="center"/>
              <w:rPr>
                <w:rFonts w:ascii="宋体" w:hAnsi="宋体"/>
                <w:b/>
                <w:color w:val="000000"/>
                <w:sz w:val="24"/>
                <w:szCs w:val="24"/>
                <w:highlight w:val="none"/>
              </w:rPr>
            </w:pPr>
          </w:p>
        </w:tc>
        <w:tc>
          <w:tcPr>
            <w:tcW w:w="578" w:type="dxa"/>
            <w:noWrap w:val="0"/>
            <w:vAlign w:val="center"/>
          </w:tcPr>
          <w:p w14:paraId="443A4617">
            <w:pPr>
              <w:pStyle w:val="300"/>
              <w:spacing w:line="360" w:lineRule="auto"/>
              <w:jc w:val="center"/>
              <w:rPr>
                <w:rFonts w:ascii="宋体" w:hAnsi="宋体"/>
                <w:b/>
                <w:color w:val="000000"/>
                <w:sz w:val="24"/>
                <w:szCs w:val="24"/>
                <w:highlight w:val="none"/>
              </w:rPr>
            </w:pPr>
          </w:p>
        </w:tc>
      </w:tr>
      <w:tr w14:paraId="65BAC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582" w:type="dxa"/>
            <w:gridSpan w:val="6"/>
            <w:noWrap w:val="0"/>
            <w:vAlign w:val="center"/>
          </w:tcPr>
          <w:p w14:paraId="7D5FD78B">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 xml:space="preserve">服务部分小计：  </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   元</w:t>
            </w:r>
          </w:p>
        </w:tc>
      </w:tr>
      <w:tr w14:paraId="483EE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0" w:type="dxa"/>
            <w:gridSpan w:val="3"/>
            <w:noWrap w:val="0"/>
            <w:vAlign w:val="top"/>
          </w:tcPr>
          <w:p w14:paraId="1C9A44E2">
            <w:pPr>
              <w:pStyle w:val="300"/>
              <w:spacing w:line="360" w:lineRule="auto"/>
              <w:rPr>
                <w:rFonts w:ascii="宋体" w:hAnsi="宋体"/>
                <w:b/>
                <w:color w:val="000000"/>
                <w:sz w:val="24"/>
                <w:szCs w:val="24"/>
                <w:highlight w:val="none"/>
              </w:rPr>
            </w:pPr>
            <w:r>
              <w:rPr>
                <w:rFonts w:hint="eastAsia" w:ascii="宋体" w:hAnsi="宋体"/>
                <w:b/>
                <w:color w:val="000000"/>
                <w:sz w:val="24"/>
                <w:szCs w:val="24"/>
                <w:highlight w:val="none"/>
              </w:rPr>
              <w:t>其它相关费用(培训、税费等与项目相关的一切费用)</w:t>
            </w:r>
          </w:p>
        </w:tc>
        <w:tc>
          <w:tcPr>
            <w:tcW w:w="5372" w:type="dxa"/>
            <w:gridSpan w:val="3"/>
            <w:noWrap w:val="0"/>
            <w:vAlign w:val="top"/>
          </w:tcPr>
          <w:p w14:paraId="3D14C922">
            <w:pPr>
              <w:pStyle w:val="300"/>
              <w:spacing w:line="360" w:lineRule="auto"/>
              <w:jc w:val="center"/>
              <w:rPr>
                <w:rFonts w:ascii="宋体" w:hAnsi="宋体"/>
                <w:color w:val="000000"/>
                <w:sz w:val="24"/>
                <w:szCs w:val="24"/>
                <w:highlight w:val="none"/>
              </w:rPr>
            </w:pPr>
            <w:r>
              <w:rPr>
                <w:rFonts w:hint="eastAsia" w:ascii="宋体" w:hAnsi="宋体" w:cs="楷体"/>
                <w:b/>
                <w:color w:val="000000"/>
                <w:sz w:val="24"/>
                <w:szCs w:val="24"/>
                <w:highlight w:val="none"/>
              </w:rPr>
              <w:t>元</w:t>
            </w:r>
          </w:p>
        </w:tc>
      </w:tr>
      <w:tr w14:paraId="5C34A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0" w:type="dxa"/>
            <w:gridSpan w:val="3"/>
            <w:noWrap w:val="0"/>
            <w:vAlign w:val="top"/>
          </w:tcPr>
          <w:p w14:paraId="70BA1A01">
            <w:pPr>
              <w:pStyle w:val="300"/>
              <w:spacing w:line="360" w:lineRule="auto"/>
              <w:rPr>
                <w:rFonts w:ascii="宋体" w:hAnsi="宋体"/>
                <w:b/>
                <w:color w:val="000000"/>
                <w:sz w:val="24"/>
                <w:szCs w:val="24"/>
                <w:highlight w:val="none"/>
              </w:rPr>
            </w:pPr>
            <w:r>
              <w:rPr>
                <w:rFonts w:hint="eastAsia" w:ascii="宋体" w:hAnsi="宋体"/>
                <w:b/>
                <w:color w:val="000000"/>
                <w:sz w:val="24"/>
                <w:szCs w:val="24"/>
                <w:highlight w:val="none"/>
              </w:rPr>
              <w:t>项目总报价</w:t>
            </w:r>
          </w:p>
        </w:tc>
        <w:tc>
          <w:tcPr>
            <w:tcW w:w="5372" w:type="dxa"/>
            <w:gridSpan w:val="3"/>
            <w:noWrap w:val="0"/>
            <w:vAlign w:val="top"/>
          </w:tcPr>
          <w:p w14:paraId="2969C665">
            <w:pPr>
              <w:pStyle w:val="300"/>
              <w:spacing w:line="360" w:lineRule="auto"/>
              <w:jc w:val="center"/>
              <w:rPr>
                <w:rFonts w:ascii="宋体" w:hAnsi="宋体"/>
                <w:color w:val="000000"/>
                <w:sz w:val="24"/>
                <w:szCs w:val="24"/>
                <w:highlight w:val="none"/>
              </w:rPr>
            </w:pPr>
            <w:r>
              <w:rPr>
                <w:rFonts w:hint="eastAsia" w:ascii="宋体" w:hAnsi="宋体" w:cs="楷体"/>
                <w:b/>
                <w:color w:val="000000"/>
                <w:sz w:val="24"/>
                <w:szCs w:val="24"/>
                <w:highlight w:val="none"/>
              </w:rPr>
              <w:t>元</w:t>
            </w:r>
          </w:p>
        </w:tc>
      </w:tr>
    </w:tbl>
    <w:p w14:paraId="312C8D8A">
      <w:pPr>
        <w:pStyle w:val="300"/>
        <w:spacing w:line="360" w:lineRule="auto"/>
        <w:rPr>
          <w:rFonts w:ascii="宋体" w:hAnsi="宋体"/>
          <w:b/>
          <w:color w:val="000000"/>
          <w:sz w:val="24"/>
          <w:szCs w:val="24"/>
          <w:highlight w:val="none"/>
          <w:u w:val="single"/>
        </w:rPr>
      </w:pPr>
      <w:r>
        <w:rPr>
          <w:rFonts w:hint="eastAsia" w:ascii="宋体" w:hAnsi="宋体"/>
          <w:b/>
          <w:color w:val="000000"/>
          <w:sz w:val="24"/>
          <w:szCs w:val="24"/>
          <w:highlight w:val="none"/>
        </w:rPr>
        <w:t>注：</w:t>
      </w:r>
      <w:r>
        <w:rPr>
          <w:rFonts w:hint="eastAsia" w:ascii="宋体" w:hAnsi="宋体"/>
          <w:color w:val="000000"/>
          <w:sz w:val="24"/>
          <w:szCs w:val="24"/>
          <w:highlight w:val="none"/>
        </w:rPr>
        <w:t>1、</w:t>
      </w:r>
      <w:r>
        <w:rPr>
          <w:rFonts w:hint="eastAsia" w:ascii="宋体" w:hAnsi="宋体"/>
          <w:b/>
          <w:color w:val="000000"/>
          <w:sz w:val="24"/>
          <w:szCs w:val="24"/>
          <w:highlight w:val="none"/>
          <w:u w:val="single"/>
        </w:rPr>
        <w:t>投标人应当按照招标文件采购需求及相关报价要求填写</w:t>
      </w:r>
      <w:r>
        <w:rPr>
          <w:rFonts w:hint="eastAsia" w:ascii="宋体" w:hAnsi="宋体"/>
          <w:color w:val="000000"/>
          <w:sz w:val="24"/>
          <w:szCs w:val="24"/>
          <w:highlight w:val="none"/>
          <w:u w:val="single"/>
        </w:rPr>
        <w:t>。</w:t>
      </w:r>
    </w:p>
    <w:p w14:paraId="0A664F51">
      <w:pPr>
        <w:pStyle w:val="300"/>
        <w:spacing w:line="360" w:lineRule="auto"/>
        <w:ind w:left="-283" w:firstLine="480"/>
        <w:rPr>
          <w:rFonts w:hint="eastAsia" w:ascii="宋体" w:hAnsi="宋体"/>
          <w:color w:val="000000"/>
          <w:sz w:val="24"/>
          <w:szCs w:val="24"/>
          <w:highlight w:val="none"/>
          <w:u w:val="single"/>
        </w:rPr>
      </w:pPr>
      <w:r>
        <w:rPr>
          <w:rFonts w:hint="eastAsia" w:ascii="宋体" w:hAnsi="宋体"/>
          <w:color w:val="000000"/>
          <w:sz w:val="24"/>
          <w:szCs w:val="24"/>
          <w:highlight w:val="none"/>
        </w:rPr>
        <w:t>2、</w:t>
      </w:r>
      <w:r>
        <w:rPr>
          <w:rFonts w:hint="eastAsia" w:ascii="宋体" w:hAnsi="宋体"/>
          <w:color w:val="000000"/>
          <w:sz w:val="24"/>
          <w:szCs w:val="24"/>
          <w:highlight w:val="none"/>
          <w:u w:val="single"/>
        </w:rPr>
        <w:t>本表中“其它”由投标人根据采购需求及自身经验进行补充填写。项目实施时，除采购人明确提出需要变更增加外，不再增加任何费用，投标人应确保本项目能达到采购要求。</w:t>
      </w:r>
    </w:p>
    <w:p w14:paraId="4952224E">
      <w:pPr>
        <w:pStyle w:val="300"/>
        <w:spacing w:line="360" w:lineRule="auto"/>
        <w:ind w:left="-283" w:firstLine="480"/>
        <w:rPr>
          <w:rFonts w:hint="eastAsia" w:ascii="宋体" w:hAnsi="宋体"/>
          <w:color w:val="000000"/>
          <w:sz w:val="24"/>
          <w:szCs w:val="24"/>
          <w:highlight w:val="none"/>
          <w:u w:val="single"/>
        </w:rPr>
      </w:pPr>
      <w:r>
        <w:rPr>
          <w:rFonts w:hint="eastAsia" w:ascii="宋体" w:hAnsi="宋体"/>
          <w:color w:val="000000"/>
          <w:sz w:val="24"/>
          <w:szCs w:val="24"/>
          <w:highlight w:val="none"/>
        </w:rPr>
        <w:t>3、</w:t>
      </w:r>
      <w:r>
        <w:rPr>
          <w:rFonts w:hint="eastAsia" w:ascii="宋体" w:hAnsi="宋体"/>
          <w:color w:val="000000"/>
          <w:sz w:val="24"/>
          <w:szCs w:val="24"/>
          <w:highlight w:val="none"/>
          <w:u w:val="single"/>
        </w:rPr>
        <w:t>本表中项目总报价应与开标一览表中项目总报价保持一致。</w:t>
      </w:r>
    </w:p>
    <w:p w14:paraId="0E738E85">
      <w:pPr>
        <w:pStyle w:val="300"/>
        <w:spacing w:line="360" w:lineRule="auto"/>
        <w:ind w:left="-283" w:firstLine="480"/>
        <w:rPr>
          <w:rFonts w:hint="eastAsia" w:ascii="宋体" w:hAnsi="宋体"/>
          <w:color w:val="000000"/>
          <w:sz w:val="24"/>
          <w:szCs w:val="24"/>
          <w:highlight w:val="none"/>
          <w:u w:val="single"/>
        </w:rPr>
      </w:pPr>
      <w:r>
        <w:rPr>
          <w:rFonts w:hint="eastAsia" w:ascii="宋体" w:hAnsi="宋体"/>
          <w:color w:val="000000"/>
          <w:sz w:val="24"/>
          <w:szCs w:val="24"/>
          <w:highlight w:val="none"/>
        </w:rPr>
        <w:t>4、</w:t>
      </w:r>
      <w:r>
        <w:rPr>
          <w:rFonts w:hint="eastAsia" w:ascii="宋体" w:hAnsi="宋体"/>
          <w:bCs/>
          <w:color w:val="000000"/>
          <w:sz w:val="24"/>
          <w:szCs w:val="24"/>
          <w:highlight w:val="none"/>
          <w:u w:val="single"/>
        </w:rPr>
        <w:t>报价保留至小数点后两位，四舍五入。</w:t>
      </w:r>
    </w:p>
    <w:p w14:paraId="38332B9A">
      <w:pPr>
        <w:pStyle w:val="300"/>
        <w:rPr>
          <w:highlight w:val="none"/>
        </w:rPr>
        <w:sectPr>
          <w:pgSz w:w="11906" w:h="16838"/>
          <w:pgMar w:top="1440" w:right="1270" w:bottom="1440" w:left="1270" w:header="851" w:footer="992" w:gutter="0"/>
          <w:cols w:space="1701" w:num="1"/>
          <w:titlePg/>
          <w:docGrid w:linePitch="360" w:charSpace="0"/>
        </w:sectPr>
      </w:pPr>
      <w:r>
        <w:rPr>
          <w:highlight w:val="none"/>
        </w:rPr>
        <w:t xml:space="preserve"> </w:t>
      </w:r>
    </w:p>
    <w:p w14:paraId="7902BF72">
      <w:pPr>
        <w:pStyle w:val="297"/>
        <w:jc w:val="center"/>
        <w:outlineLvl w:val="2"/>
        <w:rPr>
          <w:b/>
          <w:bCs/>
          <w:highlight w:val="none"/>
        </w:rPr>
      </w:pPr>
      <w:bookmarkStart w:id="363" w:name="_Toc786"/>
      <w:r>
        <w:rPr>
          <w:rFonts w:ascii="宋体" w:hAnsi="宋体" w:eastAsia="宋体" w:cs="宋体"/>
          <w:b/>
          <w:bCs/>
          <w:sz w:val="28"/>
          <w:highlight w:val="none"/>
        </w:rPr>
        <w:t>(</w:t>
      </w:r>
      <w:r>
        <w:rPr>
          <w:rFonts w:hint="eastAsia" w:ascii="宋体" w:hAnsi="宋体" w:eastAsia="宋体" w:cs="宋体"/>
          <w:b/>
          <w:bCs/>
          <w:sz w:val="28"/>
          <w:highlight w:val="none"/>
          <w:lang w:val="en-US" w:eastAsia="zh-CN"/>
        </w:rPr>
        <w:t>六</w:t>
      </w:r>
      <w:r>
        <w:rPr>
          <w:rFonts w:ascii="宋体" w:hAnsi="宋体" w:eastAsia="宋体" w:cs="宋体"/>
          <w:b/>
          <w:bCs/>
          <w:sz w:val="28"/>
          <w:highlight w:val="none"/>
        </w:rPr>
        <w:t>)</w:t>
      </w:r>
      <w:r>
        <w:rPr>
          <w:rFonts w:hint="eastAsia" w:ascii="宋体" w:hAnsi="宋体" w:eastAsia="宋体" w:cs="宋体"/>
          <w:b/>
          <w:bCs/>
          <w:sz w:val="28"/>
          <w:highlight w:val="none"/>
          <w:lang w:val="en-US" w:eastAsia="zh-CN"/>
        </w:rPr>
        <w:t>最后</w:t>
      </w:r>
      <w:r>
        <w:rPr>
          <w:rFonts w:ascii="宋体" w:hAnsi="宋体" w:eastAsia="宋体" w:cs="宋体"/>
          <w:b/>
          <w:bCs/>
          <w:sz w:val="28"/>
          <w:highlight w:val="none"/>
        </w:rPr>
        <w:t>报价一览表</w:t>
      </w:r>
      <w:bookmarkEnd w:id="363"/>
    </w:p>
    <w:p w14:paraId="18DBD6E5">
      <w:pPr>
        <w:pStyle w:val="298"/>
        <w:jc w:val="center"/>
        <w:rPr>
          <w:rFonts w:ascii="宋体" w:hAnsi="宋体" w:eastAsia="宋体" w:cs="宋体"/>
          <w:sz w:val="32"/>
          <w:szCs w:val="32"/>
          <w:highlight w:val="none"/>
        </w:rPr>
      </w:pPr>
      <w:r>
        <w:rPr>
          <w:rFonts w:ascii="宋体" w:hAnsi="宋体" w:eastAsia="宋体" w:cs="宋体"/>
          <w:highlight w:val="none"/>
        </w:rPr>
        <w:t>﻿</w:t>
      </w:r>
    </w:p>
    <w:p w14:paraId="61036CEA">
      <w:pPr>
        <w:pStyle w:val="231"/>
        <w:rPr>
          <w:highlight w:val="none"/>
        </w:rPr>
      </w:pPr>
      <w:r>
        <w:rPr>
          <w:highlight w:val="none"/>
        </w:rPr>
        <w:t>货币单位：人民币元</w:t>
      </w:r>
    </w:p>
    <w:p w14:paraId="45A5A98B">
      <w:pPr>
        <w:pStyle w:val="231"/>
        <w:rPr>
          <w:highlight w:val="none"/>
          <w:lang w:val="en-US" w:eastAsia="zh-CN"/>
        </w:rPr>
      </w:pPr>
      <w:r>
        <w:rPr>
          <w:highlight w:val="none"/>
        </w:rPr>
        <w:t>项目编号：</w:t>
      </w:r>
      <w:r>
        <w:rPr>
          <w:rFonts w:hint="eastAsia"/>
          <w:highlight w:val="none"/>
          <w:lang w:val="en-US" w:eastAsia="zh-CN"/>
        </w:rPr>
        <w:t xml:space="preserve"> </w:t>
      </w:r>
    </w:p>
    <w:tbl>
      <w:tblPr>
        <w:tblStyle w:val="33"/>
        <w:tblW w:w="0" w:type="auto"/>
        <w:tblCellSpacing w:w="15"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15" w:type="dxa"/>
          <w:left w:w="15" w:type="dxa"/>
          <w:bottom w:w="15" w:type="dxa"/>
          <w:right w:w="15" w:type="dxa"/>
        </w:tblCellMar>
      </w:tblPr>
      <w:tblGrid>
        <w:gridCol w:w="2776"/>
        <w:gridCol w:w="2660"/>
        <w:gridCol w:w="4032"/>
      </w:tblGrid>
      <w:tr w14:paraId="441CDAA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blCellSpacing w:w="15" w:type="dxa"/>
        </w:trPr>
        <w:tc>
          <w:tcPr>
            <w:tcW w:w="2731" w:type="dxa"/>
            <w:noWrap w:val="0"/>
            <w:vAlign w:val="center"/>
          </w:tcPr>
          <w:p w14:paraId="59C31DA5">
            <w:pPr>
              <w:pStyle w:val="231"/>
              <w:rPr>
                <w:highlight w:val="none"/>
              </w:rPr>
            </w:pPr>
            <w:r>
              <w:rPr>
                <w:highlight w:val="none"/>
              </w:rPr>
              <w:t>项目名称</w:t>
            </w:r>
          </w:p>
        </w:tc>
        <w:tc>
          <w:tcPr>
            <w:tcW w:w="2630" w:type="dxa"/>
            <w:noWrap w:val="0"/>
            <w:vAlign w:val="center"/>
          </w:tcPr>
          <w:p w14:paraId="641EA4A9">
            <w:pPr>
              <w:pStyle w:val="231"/>
              <w:rPr>
                <w:highlight w:val="none"/>
              </w:rPr>
            </w:pPr>
            <w:r>
              <w:rPr>
                <w:highlight w:val="none"/>
              </w:rPr>
              <w:t>项目内容</w:t>
            </w:r>
          </w:p>
        </w:tc>
        <w:tc>
          <w:tcPr>
            <w:tcW w:w="3937" w:type="dxa"/>
            <w:noWrap w:val="0"/>
            <w:vAlign w:val="center"/>
          </w:tcPr>
          <w:p w14:paraId="298CFC3F">
            <w:pPr>
              <w:pStyle w:val="231"/>
              <w:rPr>
                <w:highlight w:val="none"/>
              </w:rPr>
            </w:pPr>
            <w:r>
              <w:rPr>
                <w:highlight w:val="none"/>
              </w:rPr>
              <w:t>总价（小写）</w:t>
            </w:r>
          </w:p>
        </w:tc>
      </w:tr>
      <w:tr w14:paraId="70A2B9C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rHeight w:val="831" w:hRule="atLeast"/>
          <w:tblCellSpacing w:w="15" w:type="dxa"/>
        </w:trPr>
        <w:tc>
          <w:tcPr>
            <w:tcW w:w="2731" w:type="dxa"/>
            <w:noWrap w:val="0"/>
            <w:vAlign w:val="center"/>
          </w:tcPr>
          <w:p w14:paraId="762A442E">
            <w:pPr>
              <w:pStyle w:val="231"/>
              <w:rPr>
                <w:rFonts w:hint="eastAsia" w:eastAsia="宋体"/>
                <w:highlight w:val="none"/>
                <w:lang w:eastAsia="zh-CN"/>
              </w:rPr>
            </w:pPr>
            <w:r>
              <w:rPr>
                <w:rFonts w:hint="eastAsia"/>
                <w:highlight w:val="none"/>
                <w:lang w:eastAsia="zh-CN"/>
              </w:rPr>
              <w:t>丹阳市人民医院高压配电房及10KV高压专线（双路）运维服务项目</w:t>
            </w:r>
          </w:p>
        </w:tc>
        <w:tc>
          <w:tcPr>
            <w:tcW w:w="2630" w:type="dxa"/>
            <w:noWrap w:val="0"/>
            <w:vAlign w:val="center"/>
          </w:tcPr>
          <w:p w14:paraId="7F84B4D6">
            <w:pPr>
              <w:pStyle w:val="231"/>
              <w:rPr>
                <w:highlight w:val="none"/>
              </w:rPr>
            </w:pPr>
            <w:r>
              <w:rPr>
                <w:highlight w:val="none"/>
              </w:rPr>
              <w:t>详见响应文件</w:t>
            </w:r>
          </w:p>
        </w:tc>
        <w:tc>
          <w:tcPr>
            <w:tcW w:w="3937" w:type="dxa"/>
            <w:noWrap w:val="0"/>
            <w:vAlign w:val="center"/>
          </w:tcPr>
          <w:p w14:paraId="6E073230">
            <w:pPr>
              <w:pStyle w:val="231"/>
              <w:rPr>
                <w:highlight w:val="none"/>
              </w:rPr>
            </w:pPr>
            <w:r>
              <w:rPr>
                <w:highlight w:val="none"/>
              </w:rPr>
              <w:t> 元</w:t>
            </w:r>
          </w:p>
        </w:tc>
      </w:tr>
      <w:tr w14:paraId="011A5E3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15" w:type="dxa"/>
            <w:left w:w="15" w:type="dxa"/>
            <w:bottom w:w="15" w:type="dxa"/>
            <w:right w:w="15" w:type="dxa"/>
          </w:tblCellMar>
        </w:tblPrEx>
        <w:trPr>
          <w:tblCellSpacing w:w="15" w:type="dxa"/>
        </w:trPr>
        <w:tc>
          <w:tcPr>
            <w:tcW w:w="9408" w:type="dxa"/>
            <w:gridSpan w:val="3"/>
            <w:noWrap w:val="0"/>
            <w:vAlign w:val="center"/>
          </w:tcPr>
          <w:p w14:paraId="4D7C5132">
            <w:pPr>
              <w:pStyle w:val="231"/>
              <w:rPr>
                <w:highlight w:val="none"/>
              </w:rPr>
            </w:pPr>
            <w:r>
              <w:rPr>
                <w:highlight w:val="none"/>
              </w:rPr>
              <w:t>总价（大写）：</w:t>
            </w:r>
          </w:p>
        </w:tc>
      </w:tr>
    </w:tbl>
    <w:p w14:paraId="0FFF897C">
      <w:pPr>
        <w:pStyle w:val="231"/>
        <w:rPr>
          <w:highlight w:val="none"/>
        </w:rPr>
      </w:pPr>
      <w:r>
        <w:rPr>
          <w:highlight w:val="none"/>
        </w:rPr>
        <w:t>报价说明：</w:t>
      </w:r>
    </w:p>
    <w:p w14:paraId="2DE9AC92">
      <w:pPr>
        <w:pStyle w:val="231"/>
        <w:rPr>
          <w:highlight w:val="none"/>
        </w:rPr>
      </w:pPr>
      <w:r>
        <w:rPr>
          <w:highlight w:val="none"/>
        </w:rPr>
        <w:t>1、报价包括完成项目的所有费用。采购人不再支付报价以外的任何费用。</w:t>
      </w:r>
    </w:p>
    <w:p w14:paraId="47403736">
      <w:pPr>
        <w:pStyle w:val="231"/>
        <w:rPr>
          <w:highlight w:val="none"/>
        </w:rPr>
      </w:pPr>
      <w:r>
        <w:rPr>
          <w:highlight w:val="none"/>
        </w:rPr>
        <w:t>2、报价以总价为准，大小写不一致以大写为准；</w:t>
      </w:r>
    </w:p>
    <w:p w14:paraId="24869C12">
      <w:pPr>
        <w:pStyle w:val="231"/>
        <w:rPr>
          <w:highlight w:val="none"/>
        </w:rPr>
      </w:pPr>
      <w:r>
        <w:rPr>
          <w:highlight w:val="none"/>
        </w:rPr>
        <w:t>3、偏离说明：详见《偏离表》；</w:t>
      </w:r>
    </w:p>
    <w:p w14:paraId="693FCC34">
      <w:pPr>
        <w:pStyle w:val="231"/>
        <w:jc w:val="right"/>
        <w:rPr>
          <w:highlight w:val="none"/>
        </w:rPr>
      </w:pPr>
      <w:r>
        <w:rPr>
          <w:highlight w:val="none"/>
        </w:rPr>
        <w:t>响应单位（公章）：</w:t>
      </w:r>
    </w:p>
    <w:p w14:paraId="396FC29B">
      <w:pPr>
        <w:pStyle w:val="231"/>
        <w:rPr>
          <w:highlight w:val="none"/>
        </w:rPr>
      </w:pPr>
      <w:r>
        <w:rPr>
          <w:highlight w:val="none"/>
        </w:rPr>
        <w:t> </w:t>
      </w:r>
    </w:p>
    <w:p w14:paraId="1BFBF294">
      <w:pPr>
        <w:pStyle w:val="231"/>
        <w:rPr>
          <w:highlight w:val="none"/>
        </w:rPr>
      </w:pPr>
      <w:r>
        <w:rPr>
          <w:highlight w:val="none"/>
        </w:rPr>
        <w:t> </w:t>
      </w:r>
    </w:p>
    <w:p w14:paraId="04BDD105">
      <w:pPr>
        <w:pStyle w:val="231"/>
        <w:rPr>
          <w:highlight w:val="none"/>
        </w:rPr>
      </w:pPr>
      <w:r>
        <w:rPr>
          <w:highlight w:val="none"/>
        </w:rPr>
        <w:t> </w:t>
      </w:r>
    </w:p>
    <w:p w14:paraId="7E3E8960">
      <w:pPr>
        <w:pStyle w:val="231"/>
        <w:rPr>
          <w:highlight w:val="none"/>
        </w:rPr>
      </w:pPr>
    </w:p>
    <w:p w14:paraId="5ABEEDD6">
      <w:pPr>
        <w:pStyle w:val="231"/>
        <w:rPr>
          <w:highlight w:val="none"/>
        </w:rPr>
      </w:pPr>
    </w:p>
    <w:p w14:paraId="0C8DE3FA">
      <w:pPr>
        <w:pStyle w:val="231"/>
        <w:rPr>
          <w:highlight w:val="none"/>
        </w:rPr>
      </w:pPr>
    </w:p>
    <w:p w14:paraId="551D2E57">
      <w:pPr>
        <w:pStyle w:val="231"/>
        <w:rPr>
          <w:highlight w:val="none"/>
        </w:rPr>
      </w:pPr>
    </w:p>
    <w:p w14:paraId="65F30A96">
      <w:pPr>
        <w:pStyle w:val="231"/>
        <w:rPr>
          <w:highlight w:val="none"/>
        </w:rPr>
      </w:pPr>
    </w:p>
    <w:p w14:paraId="035D9D7F">
      <w:pPr>
        <w:pStyle w:val="231"/>
        <w:rPr>
          <w:rFonts w:hint="eastAsia"/>
          <w:highlight w:val="none"/>
        </w:rPr>
      </w:pPr>
    </w:p>
    <w:p w14:paraId="5FCCE59E">
      <w:pPr>
        <w:pStyle w:val="231"/>
        <w:rPr>
          <w:rFonts w:hint="eastAsia"/>
          <w:highlight w:val="none"/>
        </w:rPr>
      </w:pPr>
    </w:p>
    <w:p w14:paraId="481DF6C3">
      <w:pPr>
        <w:pStyle w:val="299"/>
        <w:jc w:val="center"/>
        <w:outlineLvl w:val="2"/>
        <w:rPr>
          <w:rFonts w:ascii="宋体" w:hAnsi="宋体" w:eastAsia="宋体" w:cs="宋体"/>
          <w:sz w:val="28"/>
          <w:highlight w:val="none"/>
        </w:rPr>
      </w:pPr>
    </w:p>
    <w:p w14:paraId="3EED7762">
      <w:pPr>
        <w:pStyle w:val="299"/>
        <w:jc w:val="center"/>
        <w:outlineLvl w:val="2"/>
        <w:rPr>
          <w:rFonts w:ascii="宋体" w:hAnsi="宋体" w:eastAsia="宋体" w:cs="宋体"/>
          <w:sz w:val="28"/>
          <w:highlight w:val="none"/>
        </w:rPr>
      </w:pPr>
    </w:p>
    <w:p w14:paraId="1D831E0F">
      <w:pPr>
        <w:pStyle w:val="299"/>
        <w:jc w:val="center"/>
        <w:outlineLvl w:val="2"/>
        <w:rPr>
          <w:b/>
          <w:bCs/>
          <w:highlight w:val="none"/>
        </w:rPr>
      </w:pPr>
      <w:bookmarkStart w:id="364" w:name="_Toc5962"/>
      <w:r>
        <w:rPr>
          <w:rFonts w:ascii="宋体" w:hAnsi="宋体" w:eastAsia="宋体" w:cs="宋体"/>
          <w:b/>
          <w:bCs/>
          <w:sz w:val="28"/>
          <w:highlight w:val="none"/>
        </w:rPr>
        <w:t>(</w:t>
      </w:r>
      <w:r>
        <w:rPr>
          <w:rFonts w:hint="eastAsia" w:ascii="宋体" w:hAnsi="宋体" w:eastAsia="宋体" w:cs="宋体"/>
          <w:b/>
          <w:bCs/>
          <w:sz w:val="28"/>
          <w:highlight w:val="none"/>
          <w:lang w:val="en-US" w:eastAsia="zh-CN"/>
        </w:rPr>
        <w:t>七</w:t>
      </w:r>
      <w:r>
        <w:rPr>
          <w:rFonts w:ascii="宋体" w:hAnsi="宋体" w:eastAsia="宋体" w:cs="宋体"/>
          <w:b/>
          <w:bCs/>
          <w:sz w:val="28"/>
          <w:highlight w:val="none"/>
        </w:rPr>
        <w:t>)</w:t>
      </w:r>
      <w:r>
        <w:rPr>
          <w:rFonts w:hint="eastAsia" w:ascii="宋体" w:hAnsi="宋体" w:eastAsia="宋体" w:cs="宋体"/>
          <w:b/>
          <w:bCs/>
          <w:sz w:val="28"/>
          <w:highlight w:val="none"/>
          <w:lang w:val="en-US" w:eastAsia="zh-CN"/>
        </w:rPr>
        <w:t>最后</w:t>
      </w:r>
      <w:r>
        <w:rPr>
          <w:rFonts w:ascii="宋体" w:hAnsi="宋体" w:eastAsia="宋体" w:cs="宋体"/>
          <w:b/>
          <w:bCs/>
          <w:sz w:val="28"/>
          <w:highlight w:val="none"/>
        </w:rPr>
        <w:t>明细报价表</w:t>
      </w:r>
      <w:bookmarkEnd w:id="364"/>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1289"/>
        <w:gridCol w:w="2497"/>
        <w:gridCol w:w="875"/>
        <w:gridCol w:w="939"/>
        <w:gridCol w:w="3525"/>
      </w:tblGrid>
      <w:tr w14:paraId="6E1D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582" w:type="dxa"/>
            <w:gridSpan w:val="6"/>
            <w:noWrap w:val="0"/>
            <w:vAlign w:val="center"/>
          </w:tcPr>
          <w:p w14:paraId="26588BF3">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一、服务部分</w:t>
            </w:r>
          </w:p>
        </w:tc>
      </w:tr>
      <w:tr w14:paraId="0A510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9" w:type="dxa"/>
            <w:noWrap w:val="0"/>
            <w:vAlign w:val="center"/>
          </w:tcPr>
          <w:p w14:paraId="1F2E77F4">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序号</w:t>
            </w:r>
          </w:p>
        </w:tc>
        <w:tc>
          <w:tcPr>
            <w:tcW w:w="1331" w:type="dxa"/>
            <w:noWrap w:val="0"/>
            <w:vAlign w:val="center"/>
          </w:tcPr>
          <w:p w14:paraId="7DD1B6F3">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名称</w:t>
            </w:r>
          </w:p>
        </w:tc>
        <w:tc>
          <w:tcPr>
            <w:tcW w:w="2145" w:type="dxa"/>
            <w:noWrap w:val="0"/>
            <w:vAlign w:val="center"/>
          </w:tcPr>
          <w:p w14:paraId="295D40A7">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服务内容</w:t>
            </w:r>
          </w:p>
        </w:tc>
        <w:tc>
          <w:tcPr>
            <w:tcW w:w="896" w:type="dxa"/>
            <w:noWrap w:val="0"/>
            <w:vAlign w:val="center"/>
          </w:tcPr>
          <w:p w14:paraId="53A76A19">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服务期</w:t>
            </w:r>
          </w:p>
        </w:tc>
        <w:tc>
          <w:tcPr>
            <w:tcW w:w="797" w:type="dxa"/>
            <w:noWrap w:val="0"/>
            <w:vAlign w:val="center"/>
          </w:tcPr>
          <w:p w14:paraId="574201B2">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价格（元）</w:t>
            </w:r>
          </w:p>
        </w:tc>
        <w:tc>
          <w:tcPr>
            <w:tcW w:w="578" w:type="dxa"/>
            <w:noWrap w:val="0"/>
            <w:vAlign w:val="center"/>
          </w:tcPr>
          <w:p w14:paraId="24203AB0">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备注</w:t>
            </w:r>
          </w:p>
        </w:tc>
      </w:tr>
      <w:tr w14:paraId="4574D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9" w:type="dxa"/>
            <w:noWrap w:val="0"/>
            <w:vAlign w:val="center"/>
          </w:tcPr>
          <w:p w14:paraId="2CF3918C">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1</w:t>
            </w:r>
          </w:p>
        </w:tc>
        <w:tc>
          <w:tcPr>
            <w:tcW w:w="1331" w:type="dxa"/>
            <w:noWrap w:val="0"/>
            <w:vAlign w:val="center"/>
          </w:tcPr>
          <w:p w14:paraId="06A27C48">
            <w:pPr>
              <w:pStyle w:val="300"/>
              <w:spacing w:line="360" w:lineRule="auto"/>
              <w:jc w:val="center"/>
              <w:rPr>
                <w:rFonts w:ascii="宋体" w:hAnsi="宋体"/>
                <w:b/>
                <w:color w:val="000000"/>
                <w:sz w:val="24"/>
                <w:szCs w:val="24"/>
                <w:highlight w:val="none"/>
              </w:rPr>
            </w:pPr>
          </w:p>
        </w:tc>
        <w:tc>
          <w:tcPr>
            <w:tcW w:w="2145" w:type="dxa"/>
            <w:noWrap w:val="0"/>
            <w:vAlign w:val="center"/>
          </w:tcPr>
          <w:p w14:paraId="427AC79E">
            <w:pPr>
              <w:pStyle w:val="300"/>
              <w:spacing w:line="360" w:lineRule="auto"/>
              <w:jc w:val="center"/>
              <w:rPr>
                <w:rFonts w:ascii="宋体" w:hAnsi="宋体"/>
                <w:b/>
                <w:color w:val="000000"/>
                <w:sz w:val="24"/>
                <w:szCs w:val="24"/>
                <w:highlight w:val="none"/>
              </w:rPr>
            </w:pPr>
          </w:p>
        </w:tc>
        <w:tc>
          <w:tcPr>
            <w:tcW w:w="896" w:type="dxa"/>
            <w:noWrap w:val="0"/>
            <w:vAlign w:val="center"/>
          </w:tcPr>
          <w:p w14:paraId="5394DA6E">
            <w:pPr>
              <w:pStyle w:val="300"/>
              <w:spacing w:line="360" w:lineRule="auto"/>
              <w:jc w:val="center"/>
              <w:rPr>
                <w:rFonts w:ascii="宋体" w:hAnsi="宋体"/>
                <w:b/>
                <w:color w:val="000000"/>
                <w:sz w:val="24"/>
                <w:szCs w:val="24"/>
                <w:highlight w:val="none"/>
              </w:rPr>
            </w:pPr>
          </w:p>
        </w:tc>
        <w:tc>
          <w:tcPr>
            <w:tcW w:w="797" w:type="dxa"/>
            <w:noWrap w:val="0"/>
            <w:vAlign w:val="center"/>
          </w:tcPr>
          <w:p w14:paraId="7783CE09">
            <w:pPr>
              <w:pStyle w:val="300"/>
              <w:spacing w:line="360" w:lineRule="auto"/>
              <w:jc w:val="center"/>
              <w:rPr>
                <w:rFonts w:ascii="宋体" w:hAnsi="宋体"/>
                <w:b/>
                <w:color w:val="000000"/>
                <w:sz w:val="24"/>
                <w:szCs w:val="24"/>
                <w:highlight w:val="none"/>
              </w:rPr>
            </w:pPr>
          </w:p>
        </w:tc>
        <w:tc>
          <w:tcPr>
            <w:tcW w:w="578" w:type="dxa"/>
            <w:noWrap w:val="0"/>
            <w:vAlign w:val="center"/>
          </w:tcPr>
          <w:p w14:paraId="091A25FB">
            <w:pPr>
              <w:pStyle w:val="300"/>
              <w:spacing w:line="360" w:lineRule="auto"/>
              <w:jc w:val="center"/>
              <w:rPr>
                <w:rFonts w:ascii="宋体" w:hAnsi="宋体"/>
                <w:b/>
                <w:color w:val="000000"/>
                <w:sz w:val="24"/>
                <w:szCs w:val="24"/>
                <w:highlight w:val="none"/>
              </w:rPr>
            </w:pPr>
          </w:p>
        </w:tc>
      </w:tr>
      <w:tr w14:paraId="45BF4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9" w:type="dxa"/>
            <w:noWrap w:val="0"/>
            <w:vAlign w:val="center"/>
          </w:tcPr>
          <w:p w14:paraId="4AC34828">
            <w:pPr>
              <w:pStyle w:val="300"/>
              <w:spacing w:line="360" w:lineRule="auto"/>
              <w:jc w:val="center"/>
              <w:rPr>
                <w:rFonts w:hint="eastAsia" w:ascii="宋体" w:hAnsi="宋体"/>
                <w:b/>
                <w:color w:val="000000"/>
                <w:sz w:val="24"/>
                <w:szCs w:val="24"/>
                <w:highlight w:val="none"/>
              </w:rPr>
            </w:pPr>
            <w:r>
              <w:rPr>
                <w:rFonts w:hint="eastAsia" w:ascii="宋体" w:hAnsi="宋体"/>
                <w:b/>
                <w:color w:val="000000"/>
                <w:sz w:val="24"/>
                <w:szCs w:val="24"/>
                <w:highlight w:val="none"/>
              </w:rPr>
              <w:t>2</w:t>
            </w:r>
          </w:p>
        </w:tc>
        <w:tc>
          <w:tcPr>
            <w:tcW w:w="1331" w:type="dxa"/>
            <w:noWrap w:val="0"/>
            <w:vAlign w:val="center"/>
          </w:tcPr>
          <w:p w14:paraId="2557530B">
            <w:pPr>
              <w:pStyle w:val="300"/>
              <w:spacing w:line="360" w:lineRule="auto"/>
              <w:jc w:val="center"/>
              <w:rPr>
                <w:rFonts w:ascii="宋体" w:hAnsi="宋体"/>
                <w:b/>
                <w:color w:val="000000"/>
                <w:sz w:val="24"/>
                <w:szCs w:val="24"/>
                <w:highlight w:val="none"/>
              </w:rPr>
            </w:pPr>
          </w:p>
        </w:tc>
        <w:tc>
          <w:tcPr>
            <w:tcW w:w="2145" w:type="dxa"/>
            <w:noWrap w:val="0"/>
            <w:vAlign w:val="center"/>
          </w:tcPr>
          <w:p w14:paraId="2254ADA6">
            <w:pPr>
              <w:pStyle w:val="300"/>
              <w:spacing w:line="360" w:lineRule="auto"/>
              <w:jc w:val="center"/>
              <w:rPr>
                <w:rFonts w:ascii="宋体" w:hAnsi="宋体"/>
                <w:b/>
                <w:color w:val="000000"/>
                <w:sz w:val="24"/>
                <w:szCs w:val="24"/>
                <w:highlight w:val="none"/>
              </w:rPr>
            </w:pPr>
          </w:p>
        </w:tc>
        <w:tc>
          <w:tcPr>
            <w:tcW w:w="896" w:type="dxa"/>
            <w:noWrap w:val="0"/>
            <w:vAlign w:val="center"/>
          </w:tcPr>
          <w:p w14:paraId="1274C82A">
            <w:pPr>
              <w:pStyle w:val="300"/>
              <w:spacing w:line="360" w:lineRule="auto"/>
              <w:jc w:val="center"/>
              <w:rPr>
                <w:rFonts w:ascii="宋体" w:hAnsi="宋体"/>
                <w:b/>
                <w:color w:val="000000"/>
                <w:sz w:val="24"/>
                <w:szCs w:val="24"/>
                <w:highlight w:val="none"/>
              </w:rPr>
            </w:pPr>
          </w:p>
        </w:tc>
        <w:tc>
          <w:tcPr>
            <w:tcW w:w="797" w:type="dxa"/>
            <w:noWrap w:val="0"/>
            <w:vAlign w:val="center"/>
          </w:tcPr>
          <w:p w14:paraId="2DB8CA96">
            <w:pPr>
              <w:pStyle w:val="300"/>
              <w:spacing w:line="360" w:lineRule="auto"/>
              <w:jc w:val="center"/>
              <w:rPr>
                <w:rFonts w:ascii="宋体" w:hAnsi="宋体"/>
                <w:b/>
                <w:color w:val="000000"/>
                <w:sz w:val="24"/>
                <w:szCs w:val="24"/>
                <w:highlight w:val="none"/>
              </w:rPr>
            </w:pPr>
          </w:p>
        </w:tc>
        <w:tc>
          <w:tcPr>
            <w:tcW w:w="578" w:type="dxa"/>
            <w:noWrap w:val="0"/>
            <w:vAlign w:val="center"/>
          </w:tcPr>
          <w:p w14:paraId="45A7BF69">
            <w:pPr>
              <w:pStyle w:val="300"/>
              <w:spacing w:line="360" w:lineRule="auto"/>
              <w:jc w:val="center"/>
              <w:rPr>
                <w:rFonts w:ascii="宋体" w:hAnsi="宋体"/>
                <w:b/>
                <w:color w:val="000000"/>
                <w:sz w:val="24"/>
                <w:szCs w:val="24"/>
                <w:highlight w:val="none"/>
              </w:rPr>
            </w:pPr>
          </w:p>
        </w:tc>
      </w:tr>
      <w:tr w14:paraId="64963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9" w:type="dxa"/>
            <w:noWrap w:val="0"/>
            <w:vAlign w:val="center"/>
          </w:tcPr>
          <w:p w14:paraId="3EFB7D47">
            <w:pPr>
              <w:pStyle w:val="300"/>
              <w:spacing w:line="360" w:lineRule="auto"/>
              <w:jc w:val="center"/>
              <w:rPr>
                <w:rFonts w:hint="eastAsia" w:ascii="宋体" w:hAnsi="宋体"/>
                <w:b/>
                <w:color w:val="000000"/>
                <w:sz w:val="24"/>
                <w:szCs w:val="24"/>
                <w:highlight w:val="none"/>
              </w:rPr>
            </w:pPr>
            <w:r>
              <w:rPr>
                <w:rFonts w:hint="eastAsia" w:ascii="宋体" w:hAnsi="宋体"/>
                <w:b/>
                <w:color w:val="000000"/>
                <w:sz w:val="24"/>
                <w:szCs w:val="24"/>
                <w:highlight w:val="none"/>
              </w:rPr>
              <w:t>3</w:t>
            </w:r>
          </w:p>
        </w:tc>
        <w:tc>
          <w:tcPr>
            <w:tcW w:w="1331" w:type="dxa"/>
            <w:noWrap w:val="0"/>
            <w:vAlign w:val="center"/>
          </w:tcPr>
          <w:p w14:paraId="54382598">
            <w:pPr>
              <w:pStyle w:val="300"/>
              <w:spacing w:line="360" w:lineRule="auto"/>
              <w:jc w:val="center"/>
              <w:rPr>
                <w:rFonts w:ascii="宋体" w:hAnsi="宋体"/>
                <w:b/>
                <w:color w:val="000000"/>
                <w:sz w:val="24"/>
                <w:szCs w:val="24"/>
                <w:highlight w:val="none"/>
              </w:rPr>
            </w:pPr>
          </w:p>
        </w:tc>
        <w:tc>
          <w:tcPr>
            <w:tcW w:w="2145" w:type="dxa"/>
            <w:noWrap w:val="0"/>
            <w:vAlign w:val="center"/>
          </w:tcPr>
          <w:p w14:paraId="6DEAF30C">
            <w:pPr>
              <w:pStyle w:val="300"/>
              <w:spacing w:line="360" w:lineRule="auto"/>
              <w:jc w:val="center"/>
              <w:rPr>
                <w:rFonts w:ascii="宋体" w:hAnsi="宋体"/>
                <w:b/>
                <w:color w:val="000000"/>
                <w:sz w:val="24"/>
                <w:szCs w:val="24"/>
                <w:highlight w:val="none"/>
              </w:rPr>
            </w:pPr>
          </w:p>
        </w:tc>
        <w:tc>
          <w:tcPr>
            <w:tcW w:w="896" w:type="dxa"/>
            <w:noWrap w:val="0"/>
            <w:vAlign w:val="center"/>
          </w:tcPr>
          <w:p w14:paraId="2FD0B37F">
            <w:pPr>
              <w:pStyle w:val="300"/>
              <w:spacing w:line="360" w:lineRule="auto"/>
              <w:jc w:val="center"/>
              <w:rPr>
                <w:rFonts w:ascii="宋体" w:hAnsi="宋体"/>
                <w:b/>
                <w:color w:val="000000"/>
                <w:sz w:val="24"/>
                <w:szCs w:val="24"/>
                <w:highlight w:val="none"/>
              </w:rPr>
            </w:pPr>
          </w:p>
        </w:tc>
        <w:tc>
          <w:tcPr>
            <w:tcW w:w="797" w:type="dxa"/>
            <w:noWrap w:val="0"/>
            <w:vAlign w:val="center"/>
          </w:tcPr>
          <w:p w14:paraId="3CE910DD">
            <w:pPr>
              <w:pStyle w:val="300"/>
              <w:spacing w:line="360" w:lineRule="auto"/>
              <w:jc w:val="center"/>
              <w:rPr>
                <w:rFonts w:ascii="宋体" w:hAnsi="宋体"/>
                <w:b/>
                <w:color w:val="000000"/>
                <w:sz w:val="24"/>
                <w:szCs w:val="24"/>
                <w:highlight w:val="none"/>
              </w:rPr>
            </w:pPr>
          </w:p>
        </w:tc>
        <w:tc>
          <w:tcPr>
            <w:tcW w:w="578" w:type="dxa"/>
            <w:noWrap w:val="0"/>
            <w:vAlign w:val="center"/>
          </w:tcPr>
          <w:p w14:paraId="40743AE8">
            <w:pPr>
              <w:pStyle w:val="300"/>
              <w:spacing w:line="360" w:lineRule="auto"/>
              <w:jc w:val="center"/>
              <w:rPr>
                <w:rFonts w:ascii="宋体" w:hAnsi="宋体"/>
                <w:b/>
                <w:color w:val="000000"/>
                <w:sz w:val="24"/>
                <w:szCs w:val="24"/>
                <w:highlight w:val="none"/>
              </w:rPr>
            </w:pPr>
          </w:p>
        </w:tc>
      </w:tr>
      <w:tr w14:paraId="1A6EC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582" w:type="dxa"/>
            <w:gridSpan w:val="6"/>
            <w:noWrap w:val="0"/>
            <w:vAlign w:val="center"/>
          </w:tcPr>
          <w:p w14:paraId="5C7EDF03">
            <w:pPr>
              <w:pStyle w:val="300"/>
              <w:spacing w:line="360" w:lineRule="auto"/>
              <w:jc w:val="center"/>
              <w:rPr>
                <w:rFonts w:ascii="宋体" w:hAnsi="宋体"/>
                <w:b/>
                <w:color w:val="000000"/>
                <w:sz w:val="24"/>
                <w:szCs w:val="24"/>
                <w:highlight w:val="none"/>
              </w:rPr>
            </w:pPr>
            <w:r>
              <w:rPr>
                <w:rFonts w:hint="eastAsia" w:ascii="宋体" w:hAnsi="宋体"/>
                <w:b/>
                <w:color w:val="000000"/>
                <w:sz w:val="24"/>
                <w:szCs w:val="24"/>
                <w:highlight w:val="none"/>
              </w:rPr>
              <w:t xml:space="preserve">服务部分小计：  </w:t>
            </w: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   元</w:t>
            </w:r>
          </w:p>
        </w:tc>
      </w:tr>
      <w:tr w14:paraId="0A91A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0" w:type="dxa"/>
            <w:gridSpan w:val="3"/>
            <w:noWrap w:val="0"/>
            <w:vAlign w:val="top"/>
          </w:tcPr>
          <w:p w14:paraId="093560C8">
            <w:pPr>
              <w:pStyle w:val="300"/>
              <w:spacing w:line="360" w:lineRule="auto"/>
              <w:rPr>
                <w:rFonts w:ascii="宋体" w:hAnsi="宋体"/>
                <w:b/>
                <w:color w:val="000000"/>
                <w:sz w:val="24"/>
                <w:szCs w:val="24"/>
                <w:highlight w:val="none"/>
              </w:rPr>
            </w:pPr>
            <w:r>
              <w:rPr>
                <w:rFonts w:hint="eastAsia" w:ascii="宋体" w:hAnsi="宋体"/>
                <w:b/>
                <w:color w:val="000000"/>
                <w:sz w:val="24"/>
                <w:szCs w:val="24"/>
                <w:highlight w:val="none"/>
              </w:rPr>
              <w:t>其它相关费用(培训、税费等与项目相关的一切费用)</w:t>
            </w:r>
          </w:p>
        </w:tc>
        <w:tc>
          <w:tcPr>
            <w:tcW w:w="5372" w:type="dxa"/>
            <w:gridSpan w:val="3"/>
            <w:noWrap w:val="0"/>
            <w:vAlign w:val="top"/>
          </w:tcPr>
          <w:p w14:paraId="41326DDB">
            <w:pPr>
              <w:pStyle w:val="300"/>
              <w:spacing w:line="360" w:lineRule="auto"/>
              <w:jc w:val="center"/>
              <w:rPr>
                <w:rFonts w:ascii="宋体" w:hAnsi="宋体"/>
                <w:color w:val="000000"/>
                <w:sz w:val="24"/>
                <w:szCs w:val="24"/>
                <w:highlight w:val="none"/>
              </w:rPr>
            </w:pPr>
            <w:r>
              <w:rPr>
                <w:rFonts w:hint="eastAsia" w:ascii="宋体" w:hAnsi="宋体" w:cs="楷体"/>
                <w:b/>
                <w:color w:val="000000"/>
                <w:sz w:val="24"/>
                <w:szCs w:val="24"/>
                <w:highlight w:val="none"/>
              </w:rPr>
              <w:t>元</w:t>
            </w:r>
          </w:p>
        </w:tc>
      </w:tr>
      <w:tr w14:paraId="083C6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0" w:type="dxa"/>
            <w:gridSpan w:val="3"/>
            <w:noWrap w:val="0"/>
            <w:vAlign w:val="top"/>
          </w:tcPr>
          <w:p w14:paraId="07B59905">
            <w:pPr>
              <w:pStyle w:val="300"/>
              <w:spacing w:line="360" w:lineRule="auto"/>
              <w:rPr>
                <w:rFonts w:ascii="宋体" w:hAnsi="宋体"/>
                <w:b/>
                <w:color w:val="000000"/>
                <w:sz w:val="24"/>
                <w:szCs w:val="24"/>
                <w:highlight w:val="none"/>
              </w:rPr>
            </w:pPr>
            <w:r>
              <w:rPr>
                <w:rFonts w:hint="eastAsia" w:ascii="宋体" w:hAnsi="宋体"/>
                <w:b/>
                <w:color w:val="000000"/>
                <w:sz w:val="24"/>
                <w:szCs w:val="24"/>
                <w:highlight w:val="none"/>
              </w:rPr>
              <w:t>项目总报价</w:t>
            </w:r>
          </w:p>
        </w:tc>
        <w:tc>
          <w:tcPr>
            <w:tcW w:w="5372" w:type="dxa"/>
            <w:gridSpan w:val="3"/>
            <w:noWrap w:val="0"/>
            <w:vAlign w:val="top"/>
          </w:tcPr>
          <w:p w14:paraId="59056078">
            <w:pPr>
              <w:pStyle w:val="300"/>
              <w:spacing w:line="360" w:lineRule="auto"/>
              <w:jc w:val="center"/>
              <w:rPr>
                <w:rFonts w:ascii="宋体" w:hAnsi="宋体"/>
                <w:color w:val="000000"/>
                <w:sz w:val="24"/>
                <w:szCs w:val="24"/>
                <w:highlight w:val="none"/>
              </w:rPr>
            </w:pPr>
            <w:r>
              <w:rPr>
                <w:rFonts w:hint="eastAsia" w:ascii="宋体" w:hAnsi="宋体" w:cs="楷体"/>
                <w:b/>
                <w:color w:val="000000"/>
                <w:sz w:val="24"/>
                <w:szCs w:val="24"/>
                <w:highlight w:val="none"/>
              </w:rPr>
              <w:t>元</w:t>
            </w:r>
          </w:p>
        </w:tc>
      </w:tr>
    </w:tbl>
    <w:p w14:paraId="0C7B35B7">
      <w:pPr>
        <w:pStyle w:val="300"/>
        <w:spacing w:line="360" w:lineRule="auto"/>
        <w:rPr>
          <w:rFonts w:ascii="宋体" w:hAnsi="宋体"/>
          <w:b/>
          <w:color w:val="000000"/>
          <w:sz w:val="24"/>
          <w:szCs w:val="24"/>
          <w:highlight w:val="none"/>
          <w:u w:val="single"/>
        </w:rPr>
      </w:pPr>
      <w:r>
        <w:rPr>
          <w:rFonts w:hint="eastAsia" w:ascii="宋体" w:hAnsi="宋体"/>
          <w:b/>
          <w:color w:val="000000"/>
          <w:sz w:val="24"/>
          <w:szCs w:val="24"/>
          <w:highlight w:val="none"/>
        </w:rPr>
        <w:t>注：</w:t>
      </w:r>
      <w:r>
        <w:rPr>
          <w:rFonts w:hint="eastAsia" w:ascii="宋体" w:hAnsi="宋体"/>
          <w:color w:val="000000"/>
          <w:sz w:val="24"/>
          <w:szCs w:val="24"/>
          <w:highlight w:val="none"/>
        </w:rPr>
        <w:t>1、</w:t>
      </w:r>
      <w:r>
        <w:rPr>
          <w:rFonts w:hint="eastAsia" w:ascii="宋体" w:hAnsi="宋体"/>
          <w:b/>
          <w:color w:val="000000"/>
          <w:sz w:val="24"/>
          <w:szCs w:val="24"/>
          <w:highlight w:val="none"/>
          <w:u w:val="single"/>
        </w:rPr>
        <w:t>投标人应当按照招标文件采购需求及相关报价要求填写</w:t>
      </w:r>
      <w:r>
        <w:rPr>
          <w:rFonts w:hint="eastAsia" w:ascii="宋体" w:hAnsi="宋体"/>
          <w:color w:val="000000"/>
          <w:sz w:val="24"/>
          <w:szCs w:val="24"/>
          <w:highlight w:val="none"/>
          <w:u w:val="single"/>
        </w:rPr>
        <w:t>。</w:t>
      </w:r>
    </w:p>
    <w:p w14:paraId="2D6FF506">
      <w:pPr>
        <w:pStyle w:val="300"/>
        <w:spacing w:line="360" w:lineRule="auto"/>
        <w:ind w:left="-283" w:firstLine="480"/>
        <w:rPr>
          <w:rFonts w:hint="eastAsia" w:ascii="宋体" w:hAnsi="宋体"/>
          <w:color w:val="000000"/>
          <w:sz w:val="24"/>
          <w:szCs w:val="24"/>
          <w:highlight w:val="none"/>
          <w:u w:val="single"/>
        </w:rPr>
      </w:pPr>
      <w:r>
        <w:rPr>
          <w:rFonts w:hint="eastAsia" w:ascii="宋体" w:hAnsi="宋体"/>
          <w:color w:val="000000"/>
          <w:sz w:val="24"/>
          <w:szCs w:val="24"/>
          <w:highlight w:val="none"/>
        </w:rPr>
        <w:t>2、</w:t>
      </w:r>
      <w:r>
        <w:rPr>
          <w:rFonts w:hint="eastAsia" w:ascii="宋体" w:hAnsi="宋体"/>
          <w:color w:val="000000"/>
          <w:sz w:val="24"/>
          <w:szCs w:val="24"/>
          <w:highlight w:val="none"/>
          <w:u w:val="single"/>
        </w:rPr>
        <w:t>本表中“其它”由投标人根据采购需求及自身经验进行补充填写。项目实施时，除采购人明确提出需要变更增加外，不再增加任何费用，投标人应确保本项目能达到采购要求。</w:t>
      </w:r>
    </w:p>
    <w:p w14:paraId="5308BB4A">
      <w:pPr>
        <w:pStyle w:val="300"/>
        <w:spacing w:line="360" w:lineRule="auto"/>
        <w:ind w:left="-283" w:firstLine="480"/>
        <w:rPr>
          <w:rFonts w:hint="eastAsia" w:ascii="宋体" w:hAnsi="宋体"/>
          <w:color w:val="000000"/>
          <w:sz w:val="24"/>
          <w:szCs w:val="24"/>
          <w:highlight w:val="none"/>
          <w:u w:val="single"/>
        </w:rPr>
      </w:pPr>
      <w:r>
        <w:rPr>
          <w:rFonts w:hint="eastAsia" w:ascii="宋体" w:hAnsi="宋体"/>
          <w:color w:val="000000"/>
          <w:sz w:val="24"/>
          <w:szCs w:val="24"/>
          <w:highlight w:val="none"/>
        </w:rPr>
        <w:t>3、</w:t>
      </w:r>
      <w:r>
        <w:rPr>
          <w:rFonts w:hint="eastAsia" w:ascii="宋体" w:hAnsi="宋体"/>
          <w:color w:val="000000"/>
          <w:sz w:val="24"/>
          <w:szCs w:val="24"/>
          <w:highlight w:val="none"/>
          <w:u w:val="single"/>
        </w:rPr>
        <w:t>本表中项目总报价应与开标一览表中项目总报价保持一致。</w:t>
      </w:r>
    </w:p>
    <w:p w14:paraId="0E609E56">
      <w:pPr>
        <w:pStyle w:val="300"/>
        <w:spacing w:line="360" w:lineRule="auto"/>
        <w:ind w:left="-283" w:firstLine="480"/>
        <w:rPr>
          <w:rFonts w:hint="eastAsia" w:ascii="宋体" w:hAnsi="宋体"/>
          <w:color w:val="000000"/>
          <w:sz w:val="24"/>
          <w:szCs w:val="24"/>
          <w:highlight w:val="none"/>
          <w:u w:val="single"/>
        </w:rPr>
      </w:pPr>
      <w:r>
        <w:rPr>
          <w:rFonts w:hint="eastAsia" w:ascii="宋体" w:hAnsi="宋体"/>
          <w:color w:val="000000"/>
          <w:sz w:val="24"/>
          <w:szCs w:val="24"/>
          <w:highlight w:val="none"/>
        </w:rPr>
        <w:t>4、</w:t>
      </w:r>
      <w:r>
        <w:rPr>
          <w:rFonts w:hint="eastAsia" w:ascii="宋体" w:hAnsi="宋体"/>
          <w:bCs/>
          <w:color w:val="000000"/>
          <w:sz w:val="24"/>
          <w:szCs w:val="24"/>
          <w:highlight w:val="none"/>
          <w:u w:val="single"/>
        </w:rPr>
        <w:t>报价保留至小数点后两位，四舍五入。</w:t>
      </w:r>
    </w:p>
    <w:p w14:paraId="55B548DC">
      <w:pPr>
        <w:pStyle w:val="300"/>
        <w:rPr>
          <w:rFonts w:hint="eastAsia"/>
          <w:szCs w:val="21"/>
          <w:highlight w:val="none"/>
        </w:rPr>
      </w:pPr>
      <w:r>
        <w:rPr>
          <w:highlight w:val="none"/>
        </w:rPr>
        <w:t xml:space="preserve"> </w:t>
      </w:r>
    </w:p>
    <w:p w14:paraId="77362F03">
      <w:pPr>
        <w:pStyle w:val="300"/>
        <w:jc w:val="center"/>
        <w:rPr>
          <w:highlight w:val="none"/>
        </w:rPr>
      </w:pPr>
      <w:r>
        <w:rPr>
          <w:highlight w:val="none"/>
        </w:rPr>
        <w:br w:type="page" w:clear="all"/>
      </w:r>
      <w:r>
        <w:rPr>
          <w:rFonts w:ascii="宋体" w:hAnsi="宋体" w:eastAsia="宋体" w:cs="宋体"/>
          <w:b/>
          <w:bCs/>
          <w:sz w:val="28"/>
          <w:highlight w:val="none"/>
        </w:rPr>
        <w:t>(</w:t>
      </w:r>
      <w:r>
        <w:rPr>
          <w:rFonts w:hint="eastAsia" w:ascii="宋体" w:hAnsi="宋体" w:cs="宋体"/>
          <w:b/>
          <w:bCs/>
          <w:sz w:val="28"/>
          <w:highlight w:val="none"/>
          <w:lang w:val="en-US" w:eastAsia="zh-CN"/>
        </w:rPr>
        <w:t>八</w:t>
      </w:r>
      <w:bookmarkStart w:id="366" w:name="_GoBack"/>
      <w:bookmarkEnd w:id="366"/>
      <w:r>
        <w:rPr>
          <w:rFonts w:ascii="宋体" w:hAnsi="宋体" w:eastAsia="宋体" w:cs="宋体"/>
          <w:b/>
          <w:bCs/>
          <w:sz w:val="28"/>
          <w:highlight w:val="none"/>
        </w:rPr>
        <w:t>)商务条款响应及偏离对照表</w:t>
      </w:r>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1711"/>
        <w:gridCol w:w="2180"/>
        <w:gridCol w:w="2179"/>
        <w:gridCol w:w="1713"/>
        <w:gridCol w:w="933"/>
      </w:tblGrid>
      <w:tr w14:paraId="60D12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center"/>
          </w:tcPr>
          <w:p w14:paraId="2E79D13E">
            <w:pPr>
              <w:pStyle w:val="302"/>
              <w:tabs>
                <w:tab w:val="left" w:pos="567"/>
                <w:tab w:val="left" w:pos="709"/>
                <w:tab w:val="left" w:pos="993"/>
              </w:tabs>
              <w:spacing w:line="560" w:lineRule="exact"/>
              <w:jc w:val="left"/>
              <w:rPr>
                <w:rFonts w:ascii="楷体" w:hAnsi="楷体" w:eastAsia="楷体" w:cs="宋体"/>
                <w:color w:val="000000"/>
                <w:sz w:val="24"/>
                <w:szCs w:val="24"/>
                <w:highlight w:val="none"/>
                <w:lang w:val="zh-CN" w:bidi="zh-CN"/>
              </w:rPr>
            </w:pPr>
            <w:r>
              <w:rPr>
                <w:rFonts w:hint="eastAsia" w:ascii="楷体" w:hAnsi="楷体" w:eastAsia="楷体" w:cs="宋体"/>
                <w:color w:val="000000"/>
                <w:sz w:val="24"/>
                <w:highlight w:val="none"/>
                <w:lang w:val="zh-CN" w:bidi="zh-CN"/>
              </w:rPr>
              <w:t>序号</w:t>
            </w:r>
          </w:p>
        </w:tc>
        <w:tc>
          <w:tcPr>
            <w:tcW w:w="901" w:type="dxa"/>
            <w:noWrap w:val="0"/>
            <w:vAlign w:val="center"/>
          </w:tcPr>
          <w:p w14:paraId="46614CEC">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r>
              <w:rPr>
                <w:rFonts w:hint="eastAsia" w:ascii="楷体" w:hAnsi="楷体" w:eastAsia="楷体" w:cs="宋体"/>
                <w:color w:val="000000"/>
                <w:sz w:val="24"/>
                <w:highlight w:val="none"/>
                <w:lang w:val="zh-CN" w:bidi="zh-CN"/>
              </w:rPr>
              <w:t>商务条款</w:t>
            </w:r>
          </w:p>
        </w:tc>
        <w:tc>
          <w:tcPr>
            <w:tcW w:w="1148" w:type="dxa"/>
            <w:noWrap w:val="0"/>
            <w:vAlign w:val="center"/>
          </w:tcPr>
          <w:p w14:paraId="018107A2">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r>
              <w:rPr>
                <w:rFonts w:hint="eastAsia" w:ascii="楷体" w:hAnsi="楷体" w:eastAsia="楷体" w:cs="宋体"/>
                <w:color w:val="000000"/>
                <w:sz w:val="24"/>
                <w:highlight w:val="none"/>
                <w:lang w:val="zh-CN" w:bidi="zh-CN"/>
              </w:rPr>
              <w:t>招标文件的要求</w:t>
            </w:r>
          </w:p>
        </w:tc>
        <w:tc>
          <w:tcPr>
            <w:tcW w:w="1147" w:type="dxa"/>
            <w:noWrap w:val="0"/>
            <w:vAlign w:val="center"/>
          </w:tcPr>
          <w:p w14:paraId="1955D7AB">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r>
              <w:rPr>
                <w:rFonts w:hint="eastAsia" w:ascii="楷体" w:hAnsi="楷体" w:eastAsia="楷体" w:cs="宋体"/>
                <w:color w:val="000000"/>
                <w:sz w:val="24"/>
                <w:highlight w:val="none"/>
                <w:lang w:val="zh-CN" w:bidi="zh-CN"/>
              </w:rPr>
              <w:t>投标实际响应</w:t>
            </w:r>
          </w:p>
        </w:tc>
        <w:tc>
          <w:tcPr>
            <w:tcW w:w="902" w:type="dxa"/>
            <w:noWrap w:val="0"/>
            <w:vAlign w:val="center"/>
          </w:tcPr>
          <w:p w14:paraId="3454B922">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r>
              <w:rPr>
                <w:rFonts w:hint="eastAsia" w:ascii="楷体" w:hAnsi="楷体" w:eastAsia="楷体" w:cs="宋体"/>
                <w:color w:val="000000"/>
                <w:sz w:val="24"/>
                <w:highlight w:val="none"/>
                <w:lang w:val="zh-CN" w:bidi="zh-CN"/>
              </w:rPr>
              <w:t>符合/正偏离/负偏离</w:t>
            </w:r>
          </w:p>
        </w:tc>
        <w:tc>
          <w:tcPr>
            <w:tcW w:w="491" w:type="dxa"/>
            <w:noWrap w:val="0"/>
            <w:vAlign w:val="center"/>
          </w:tcPr>
          <w:p w14:paraId="492322C6">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r>
              <w:rPr>
                <w:rFonts w:hint="eastAsia" w:ascii="楷体" w:hAnsi="楷体" w:eastAsia="楷体" w:cs="宋体"/>
                <w:color w:val="000000"/>
                <w:sz w:val="24"/>
                <w:highlight w:val="none"/>
                <w:lang w:val="zh-CN" w:bidi="zh-CN"/>
              </w:rPr>
              <w:t>备注</w:t>
            </w:r>
          </w:p>
        </w:tc>
      </w:tr>
      <w:tr w14:paraId="3F40A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7F4E2832">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0513F813">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348ABFE3">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74CC186C">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48C23833">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13979C62">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57579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69239EB2">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1D66E0CA">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1CBD529F">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29741FA1">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4FD9BDA1">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3414E30C">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1697C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0AC6D42C">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00D5D4D7">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4255F1EB">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3DC0AAAF">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0D52623A">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46A65103">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19FA4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13B7D118">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6B9A36AB">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2B4EA637">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0BF04ABD">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6699B304">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5C3B6258">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49860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15AAD2E0">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7F91E19D">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50686227">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27698175">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33EA3BFE">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4B9BAD9D">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2A110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2472C3C3">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42FDF8E3">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589AB4F5">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582037BB">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430A1A7C">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4150B41D">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409BB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374B49C5">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227B3C45">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3CAEF0FC">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552F20B9">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21B6842A">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4150572E">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4E67B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63B99C55">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3667FD9B">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7F5A3681">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068BD17B">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18652123">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5F84EEF4">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7C376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335795FB">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1F1E2F5A">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5AB06DE2">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0A4586EF">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65EBB1AF">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285B9438">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00732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7386ED3D">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456FAA1F">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1312B307">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4715F3AE">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3DC2DEF8">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5F4E3AD3">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04C67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61FEE6E2">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71924FEA">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2045CECC">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4F828DD6">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21FE3FBC">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0B1A3521">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r w14:paraId="55AAA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1" w:type="dxa"/>
            <w:noWrap w:val="0"/>
            <w:vAlign w:val="top"/>
          </w:tcPr>
          <w:p w14:paraId="77658345">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1" w:type="dxa"/>
            <w:noWrap w:val="0"/>
            <w:vAlign w:val="top"/>
          </w:tcPr>
          <w:p w14:paraId="115CAF6A">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8" w:type="dxa"/>
            <w:noWrap w:val="0"/>
            <w:vAlign w:val="top"/>
          </w:tcPr>
          <w:p w14:paraId="65DE36BE">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1147" w:type="dxa"/>
            <w:noWrap w:val="0"/>
            <w:vAlign w:val="top"/>
          </w:tcPr>
          <w:p w14:paraId="4856ECF5">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902" w:type="dxa"/>
            <w:noWrap w:val="0"/>
            <w:vAlign w:val="top"/>
          </w:tcPr>
          <w:p w14:paraId="7D5CE6D8">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c>
          <w:tcPr>
            <w:tcW w:w="491" w:type="dxa"/>
            <w:noWrap w:val="0"/>
            <w:vAlign w:val="top"/>
          </w:tcPr>
          <w:p w14:paraId="077B0769">
            <w:pPr>
              <w:pStyle w:val="302"/>
              <w:tabs>
                <w:tab w:val="left" w:pos="567"/>
                <w:tab w:val="left" w:pos="709"/>
                <w:tab w:val="left" w:pos="993"/>
              </w:tabs>
              <w:spacing w:line="560" w:lineRule="exact"/>
              <w:jc w:val="left"/>
              <w:rPr>
                <w:rFonts w:ascii="楷体" w:hAnsi="楷体" w:eastAsia="楷体" w:cs="宋体"/>
                <w:color w:val="000000"/>
                <w:sz w:val="24"/>
                <w:highlight w:val="none"/>
                <w:lang w:val="zh-CN" w:bidi="zh-CN"/>
              </w:rPr>
            </w:pPr>
          </w:p>
        </w:tc>
      </w:tr>
    </w:tbl>
    <w:p w14:paraId="22369E4E">
      <w:pPr>
        <w:pStyle w:val="303"/>
        <w:spacing w:before="240" w:after="240"/>
        <w:rPr>
          <w:rFonts w:ascii="宋体" w:hAnsi="宋体" w:eastAsia="宋体" w:cs="宋体"/>
          <w:sz w:val="21"/>
          <w:szCs w:val="22"/>
          <w:highlight w:val="none"/>
        </w:rPr>
      </w:pPr>
      <w:r>
        <w:rPr>
          <w:rFonts w:hint="eastAsia" w:ascii="宋体" w:hAnsi="宋体" w:eastAsia="宋体" w:cs="宋体"/>
          <w:sz w:val="21"/>
          <w:szCs w:val="22"/>
          <w:highlight w:val="none"/>
        </w:rPr>
        <w:t>填表说明：</w:t>
      </w:r>
    </w:p>
    <w:p w14:paraId="61034283">
      <w:pPr>
        <w:pStyle w:val="303"/>
        <w:spacing w:before="240" w:after="240" w:line="240" w:lineRule="exact"/>
        <w:rPr>
          <w:rFonts w:hint="eastAsia" w:ascii="宋体" w:hAnsi="宋体" w:eastAsia="宋体" w:cs="宋体"/>
          <w:sz w:val="21"/>
          <w:szCs w:val="22"/>
          <w:highlight w:val="none"/>
        </w:rPr>
      </w:pPr>
      <w:r>
        <w:rPr>
          <w:rFonts w:hint="eastAsia" w:ascii="宋体" w:hAnsi="宋体" w:eastAsia="宋体" w:cs="宋体"/>
          <w:sz w:val="21"/>
          <w:szCs w:val="22"/>
          <w:highlight w:val="none"/>
        </w:rPr>
        <w:t>1、供应商应当根据磋商文件要求在上表中逐条标明满足与否。</w:t>
      </w:r>
    </w:p>
    <w:p w14:paraId="66624532">
      <w:pPr>
        <w:pStyle w:val="303"/>
        <w:spacing w:before="240" w:after="240" w:line="240" w:lineRule="exact"/>
        <w:rPr>
          <w:rFonts w:hint="eastAsia" w:ascii="宋体" w:hAnsi="宋体" w:eastAsia="宋体" w:cs="宋体"/>
          <w:sz w:val="21"/>
          <w:szCs w:val="22"/>
          <w:highlight w:val="none"/>
        </w:rPr>
      </w:pPr>
      <w:r>
        <w:rPr>
          <w:rFonts w:hint="eastAsia" w:ascii="宋体" w:hAnsi="宋体" w:eastAsia="宋体" w:cs="宋体"/>
          <w:sz w:val="21"/>
          <w:szCs w:val="22"/>
          <w:highlight w:val="none"/>
        </w:rPr>
        <w:t>2、供应商应逐一说明商务响应和偏离情况。</w:t>
      </w:r>
    </w:p>
    <w:p w14:paraId="046C7F68">
      <w:pPr>
        <w:pStyle w:val="303"/>
        <w:spacing w:before="240" w:after="240" w:line="240" w:lineRule="exact"/>
        <w:rPr>
          <w:rFonts w:hint="eastAsia" w:ascii="宋体" w:hAnsi="宋体" w:eastAsia="宋体" w:cs="宋体"/>
          <w:sz w:val="21"/>
          <w:szCs w:val="22"/>
          <w:highlight w:val="none"/>
        </w:rPr>
      </w:pPr>
      <w:r>
        <w:rPr>
          <w:rFonts w:hint="eastAsia" w:ascii="宋体" w:hAnsi="宋体" w:eastAsia="宋体" w:cs="宋体"/>
          <w:sz w:val="21"/>
          <w:szCs w:val="22"/>
          <w:highlight w:val="none"/>
        </w:rPr>
        <w:t>3、供应商在《商务响应及偏离对照表》中须如实表述技术内容，虚构商务内容参数的，将视为虚假应标，按照无效投标处理。</w:t>
      </w:r>
    </w:p>
    <w:p w14:paraId="39E0E60C">
      <w:pPr>
        <w:pStyle w:val="303"/>
        <w:spacing w:before="240" w:after="240" w:line="240" w:lineRule="exact"/>
        <w:rPr>
          <w:rFonts w:hint="eastAsia" w:ascii="宋体" w:hAnsi="宋体" w:eastAsia="宋体" w:cs="宋体"/>
          <w:sz w:val="21"/>
          <w:szCs w:val="22"/>
          <w:highlight w:val="none"/>
        </w:rPr>
      </w:pPr>
      <w:r>
        <w:rPr>
          <w:rFonts w:hint="eastAsia" w:ascii="宋体" w:hAnsi="宋体" w:eastAsia="宋体" w:cs="宋体"/>
          <w:sz w:val="21"/>
          <w:szCs w:val="22"/>
          <w:highlight w:val="none"/>
        </w:rPr>
        <w:t>4、行数不够，可自行添加。</w:t>
      </w:r>
    </w:p>
    <w:p w14:paraId="20564B48">
      <w:pPr>
        <w:pStyle w:val="303"/>
        <w:spacing w:before="240" w:after="240" w:line="240" w:lineRule="exact"/>
        <w:rPr>
          <w:rFonts w:hint="eastAsia" w:ascii="宋体" w:hAnsi="宋体" w:eastAsia="宋体" w:cs="宋体"/>
          <w:sz w:val="21"/>
          <w:szCs w:val="22"/>
          <w:highlight w:val="none"/>
        </w:rPr>
      </w:pPr>
      <w:r>
        <w:rPr>
          <w:rFonts w:hint="eastAsia" w:ascii="宋体" w:hAnsi="宋体" w:eastAsia="宋体" w:cs="宋体"/>
          <w:sz w:val="21"/>
          <w:szCs w:val="22"/>
          <w:highlight w:val="none"/>
        </w:rPr>
        <w:t>5、供应商如对商务要求中的内容无偏离，本表盖章即可。法定代表人（签字或盖章）：</w:t>
      </w:r>
    </w:p>
    <w:p w14:paraId="61A7E19E">
      <w:pPr>
        <w:pStyle w:val="303"/>
        <w:spacing w:before="240" w:after="240"/>
        <w:jc w:val="right"/>
        <w:rPr>
          <w:rFonts w:hint="eastAsia" w:ascii="宋体" w:hAnsi="宋体" w:eastAsia="宋体" w:cs="宋体"/>
          <w:sz w:val="21"/>
          <w:szCs w:val="22"/>
          <w:highlight w:val="none"/>
        </w:rPr>
      </w:pPr>
      <w:r>
        <w:rPr>
          <w:rFonts w:hint="eastAsia" w:ascii="宋体" w:hAnsi="宋体" w:eastAsia="宋体" w:cs="宋体"/>
          <w:sz w:val="21"/>
          <w:szCs w:val="22"/>
          <w:highlight w:val="none"/>
        </w:rPr>
        <w:t>供应商名称（盖章）：</w:t>
      </w:r>
    </w:p>
    <w:p w14:paraId="6E86405B">
      <w:pPr>
        <w:pStyle w:val="303"/>
        <w:spacing w:before="240" w:after="240"/>
        <w:jc w:val="right"/>
        <w:rPr>
          <w:rFonts w:hint="eastAsia" w:ascii="宋体" w:hAnsi="宋体" w:eastAsia="宋体" w:cs="宋体"/>
          <w:sz w:val="21"/>
          <w:szCs w:val="22"/>
          <w:highlight w:val="none"/>
        </w:rPr>
      </w:pPr>
      <w:r>
        <w:rPr>
          <w:rFonts w:hint="eastAsia" w:ascii="宋体" w:hAnsi="宋体" w:eastAsia="宋体" w:cs="宋体"/>
          <w:sz w:val="21"/>
          <w:szCs w:val="22"/>
          <w:highlight w:val="none"/>
        </w:rPr>
        <w:t>日期：   年   月   日</w:t>
      </w:r>
    </w:p>
    <w:p w14:paraId="42F49C38">
      <w:pPr>
        <w:pStyle w:val="304"/>
        <w:jc w:val="center"/>
        <w:outlineLvl w:val="1"/>
        <w:rPr>
          <w:highlight w:val="none"/>
        </w:rPr>
      </w:pPr>
      <w:r>
        <w:rPr>
          <w:highlight w:val="none"/>
        </w:rPr>
        <w:br w:type="page" w:clear="all"/>
      </w:r>
      <w:bookmarkStart w:id="365" w:name="_Toc27863"/>
      <w:r>
        <w:rPr>
          <w:rFonts w:ascii="宋体" w:hAnsi="宋体" w:eastAsia="宋体" w:cs="宋体"/>
          <w:b/>
          <w:bCs/>
          <w:sz w:val="32"/>
          <w:highlight w:val="none"/>
        </w:rPr>
        <w:t>四、</w:t>
      </w:r>
      <w:r>
        <w:rPr>
          <w:rFonts w:hint="eastAsia" w:ascii="宋体" w:hAnsi="宋体" w:eastAsia="宋体" w:cs="宋体"/>
          <w:b/>
          <w:bCs/>
          <w:sz w:val="32"/>
          <w:highlight w:val="none"/>
        </w:rPr>
        <w:t>按磋商文件要求供应商所能提供的其他文件</w:t>
      </w:r>
      <w:bookmarkEnd w:id="365"/>
    </w:p>
    <w:bookmarkEnd w:id="317"/>
    <w:p w14:paraId="3E88DEC5">
      <w:pPr>
        <w:rPr>
          <w:rFonts w:hint="eastAsia"/>
          <w:color w:val="000080"/>
          <w:sz w:val="20"/>
          <w:highlight w:val="none"/>
        </w:rPr>
      </w:pPr>
      <w:r>
        <w:rPr>
          <w:rFonts w:hint="eastAsia"/>
          <w:color w:val="000080"/>
          <w:sz w:val="20"/>
          <w:highlight w:val="none"/>
        </w:rPr>
        <w:t xml:space="preserve"> </w:t>
      </w:r>
    </w:p>
    <w:p w14:paraId="64837712">
      <w:pPr>
        <w:pStyle w:val="285"/>
        <w:tabs>
          <w:tab w:val="left" w:pos="567"/>
          <w:tab w:val="left" w:pos="709"/>
          <w:tab w:val="left" w:pos="993"/>
        </w:tabs>
        <w:spacing w:after="93" w:line="560" w:lineRule="exact"/>
        <w:ind w:left="338" w:right="473"/>
        <w:jc w:val="left"/>
        <w:outlineLvl w:val="1"/>
        <w:rPr>
          <w:rFonts w:ascii="宋体" w:hAnsi="宋体" w:cs="宋体"/>
          <w:b/>
          <w:bCs/>
          <w:sz w:val="32"/>
          <w:szCs w:val="32"/>
          <w:highlight w:val="none"/>
        </w:rPr>
      </w:pPr>
    </w:p>
    <w:p w14:paraId="4D5D78A6">
      <w:pPr>
        <w:pStyle w:val="278"/>
        <w:jc w:val="center"/>
        <w:outlineLvl w:val="2"/>
        <w:rPr>
          <w:highlight w:val="none"/>
          <w:lang w:val="en-US"/>
        </w:rPr>
      </w:pPr>
    </w:p>
    <w:p w14:paraId="7C07E832">
      <w:pPr>
        <w:jc w:val="center"/>
        <w:rPr>
          <w:rFonts w:ascii="宋体" w:hAnsi="宋体"/>
          <w:sz w:val="44"/>
          <w:szCs w:val="44"/>
          <w:highlight w:val="none"/>
        </w:rPr>
      </w:pPr>
      <w:r>
        <w:rPr>
          <w:highlight w:val="none"/>
        </w:rPr>
        <w:br w:type="page" w:clear="all"/>
      </w:r>
      <w:r>
        <w:rPr>
          <w:rFonts w:hint="eastAsia" w:ascii="宋体" w:hAnsi="宋体"/>
          <w:sz w:val="44"/>
          <w:szCs w:val="44"/>
          <w:highlight w:val="none"/>
        </w:rPr>
        <w:t>告供应商书</w:t>
      </w:r>
    </w:p>
    <w:p w14:paraId="09E82B41">
      <w:pPr>
        <w:rPr>
          <w:rFonts w:ascii="宋体" w:hAnsi="宋体"/>
          <w:sz w:val="28"/>
          <w:szCs w:val="28"/>
          <w:highlight w:val="none"/>
        </w:rPr>
      </w:pPr>
    </w:p>
    <w:p w14:paraId="1F7C4011">
      <w:pPr>
        <w:rPr>
          <w:rFonts w:ascii="宋体" w:hAnsi="宋体"/>
          <w:sz w:val="28"/>
          <w:szCs w:val="28"/>
          <w:highlight w:val="none"/>
        </w:rPr>
      </w:pPr>
      <w:r>
        <w:rPr>
          <w:rFonts w:hint="eastAsia" w:ascii="宋体" w:hAnsi="宋体"/>
          <w:sz w:val="28"/>
          <w:szCs w:val="28"/>
          <w:highlight w:val="none"/>
        </w:rPr>
        <w:t>中标（成交）供应商：</w:t>
      </w:r>
    </w:p>
    <w:p w14:paraId="1CCB4200">
      <w:pPr>
        <w:ind w:firstLine="560"/>
        <w:rPr>
          <w:rFonts w:ascii="宋体" w:hAnsi="宋体"/>
          <w:sz w:val="28"/>
          <w:szCs w:val="28"/>
          <w:highlight w:val="none"/>
        </w:rPr>
      </w:pPr>
      <w:r>
        <w:rPr>
          <w:rFonts w:hint="eastAsia" w:ascii="宋体" w:hAnsi="宋体"/>
          <w:sz w:val="28"/>
          <w:szCs w:val="28"/>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7E66F2B9">
      <w:pPr>
        <w:ind w:firstLine="560"/>
        <w:rPr>
          <w:rFonts w:ascii="宋体" w:hAnsi="宋体"/>
          <w:sz w:val="28"/>
          <w:szCs w:val="28"/>
          <w:highlight w:val="none"/>
        </w:rPr>
      </w:pPr>
      <w:r>
        <w:rPr>
          <w:rFonts w:hint="eastAsia" w:ascii="宋体" w:hAnsi="宋体"/>
          <w:sz w:val="28"/>
          <w:szCs w:val="28"/>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宋体" w:hAnsi="宋体"/>
          <w:sz w:val="28"/>
          <w:szCs w:val="28"/>
          <w:highlight w:val="none"/>
        </w:rPr>
        <w:t>为您提供</w:t>
      </w:r>
      <w:r>
        <w:rPr>
          <w:rFonts w:hint="eastAsia" w:ascii="宋体" w:hAnsi="宋体"/>
          <w:sz w:val="28"/>
          <w:szCs w:val="28"/>
          <w:highlight w:val="none"/>
        </w:rPr>
        <w:t>无抵押低息融资</w:t>
      </w:r>
      <w:r>
        <w:rPr>
          <w:rFonts w:ascii="宋体" w:hAnsi="宋体"/>
          <w:sz w:val="28"/>
          <w:szCs w:val="28"/>
          <w:highlight w:val="none"/>
        </w:rPr>
        <w:t>便利</w:t>
      </w:r>
      <w:r>
        <w:rPr>
          <w:rFonts w:hint="eastAsia" w:ascii="宋体" w:hAnsi="宋体"/>
          <w:sz w:val="28"/>
          <w:szCs w:val="28"/>
          <w:highlight w:val="none"/>
        </w:rPr>
        <w:t>。</w:t>
      </w:r>
      <w:r>
        <w:rPr>
          <w:rFonts w:ascii="宋体" w:hAnsi="宋体"/>
          <w:sz w:val="28"/>
          <w:szCs w:val="28"/>
          <w:highlight w:val="none"/>
        </w:rPr>
        <w:t>具体业务流程可登录</w:t>
      </w:r>
      <w:r>
        <w:rPr>
          <w:rFonts w:hint="eastAsia" w:ascii="宋体" w:hAnsi="宋体"/>
          <w:sz w:val="28"/>
          <w:szCs w:val="28"/>
          <w:highlight w:val="none"/>
        </w:rPr>
        <w:t>“江苏政府采购网</w:t>
      </w:r>
      <w:r>
        <w:rPr>
          <w:rFonts w:ascii="宋体" w:hAnsi="宋体"/>
          <w:sz w:val="28"/>
          <w:szCs w:val="28"/>
          <w:highlight w:val="none"/>
        </w:rPr>
        <w:t>—</w:t>
      </w:r>
      <w:r>
        <w:rPr>
          <w:rFonts w:hint="eastAsia" w:ascii="宋体" w:hAnsi="宋体"/>
          <w:sz w:val="28"/>
          <w:szCs w:val="28"/>
          <w:highlight w:val="none"/>
        </w:rPr>
        <w:t>政采贷”栏目（</w:t>
      </w:r>
      <w:r>
        <w:rPr>
          <w:rFonts w:ascii="宋体" w:hAnsi="宋体"/>
          <w:sz w:val="28"/>
          <w:szCs w:val="28"/>
          <w:highlight w:val="none"/>
        </w:rPr>
        <w:t>http://www.ccgp-jiangsu.gov.cn/jiangsu/paying.html</w:t>
      </w:r>
      <w:r>
        <w:rPr>
          <w:rFonts w:hint="eastAsia" w:ascii="宋体" w:hAnsi="宋体"/>
          <w:sz w:val="28"/>
          <w:szCs w:val="28"/>
          <w:highlight w:val="none"/>
        </w:rPr>
        <w:t>）查看并办理。</w:t>
      </w:r>
    </w:p>
    <w:p w14:paraId="4129ECD4">
      <w:pPr>
        <w:ind w:firstLine="560"/>
        <w:rPr>
          <w:rFonts w:ascii="宋体" w:hAnsi="宋体"/>
          <w:sz w:val="28"/>
          <w:szCs w:val="28"/>
          <w:highlight w:val="none"/>
        </w:rPr>
      </w:pPr>
      <w:r>
        <w:rPr>
          <w:rFonts w:hint="eastAsia" w:ascii="宋体" w:hAnsi="宋体"/>
          <w:sz w:val="28"/>
          <w:szCs w:val="28"/>
          <w:highlight w:val="none"/>
        </w:rPr>
        <w:t>如您需要帮助，请致电镇江市财政局政府采购管理处，电话：0</w:t>
      </w:r>
      <w:r>
        <w:rPr>
          <w:rFonts w:ascii="宋体" w:hAnsi="宋体"/>
          <w:sz w:val="28"/>
          <w:szCs w:val="28"/>
          <w:highlight w:val="none"/>
        </w:rPr>
        <w:t>511-80909958</w:t>
      </w:r>
      <w:r>
        <w:rPr>
          <w:rFonts w:hint="eastAsia" w:ascii="宋体" w:hAnsi="宋体"/>
          <w:sz w:val="28"/>
          <w:szCs w:val="28"/>
          <w:highlight w:val="none"/>
        </w:rPr>
        <w:t>。我们将竭诚为您服务！</w:t>
      </w:r>
    </w:p>
    <w:p w14:paraId="51A4A956">
      <w:pPr>
        <w:ind w:right="160" w:firstLine="560"/>
        <w:jc w:val="right"/>
        <w:rPr>
          <w:rFonts w:ascii="宋体" w:hAnsi="宋体"/>
          <w:sz w:val="28"/>
          <w:szCs w:val="28"/>
          <w:highlight w:val="none"/>
        </w:rPr>
      </w:pPr>
    </w:p>
    <w:p w14:paraId="3DFB2A34">
      <w:pPr>
        <w:ind w:right="160" w:firstLine="560"/>
        <w:jc w:val="right"/>
        <w:rPr>
          <w:rFonts w:ascii="宋体" w:hAnsi="宋体"/>
          <w:sz w:val="28"/>
          <w:szCs w:val="28"/>
          <w:highlight w:val="none"/>
        </w:rPr>
      </w:pPr>
      <w:r>
        <w:rPr>
          <w:rFonts w:ascii="宋体" w:hAnsi="宋体"/>
          <w:sz w:val="28"/>
          <w:szCs w:val="28"/>
          <w:highlight w:val="none"/>
        </w:rPr>
        <w:t>镇江市财政局</w:t>
      </w:r>
    </w:p>
    <w:sectPr>
      <w:pgSz w:w="11906" w:h="16838"/>
      <w:pgMar w:top="1440" w:right="1270" w:bottom="1440" w:left="127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Tms Rm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隶书">
    <w:panose1 w:val="02010509060101010101"/>
    <w:charset w:val="86"/>
    <w:family w:val="auto"/>
    <w:pitch w:val="default"/>
    <w:sig w:usb0="00000001" w:usb1="080E0000" w:usb2="00000000" w:usb3="00000000" w:csb0="00040000" w:csb1="00000000"/>
  </w:font>
  <w:font w:name="Segoe UI Symbol">
    <w:panose1 w:val="020B0502040204020203"/>
    <w:charset w:val="00"/>
    <w:family w:val="auto"/>
    <w:pitch w:val="default"/>
    <w:sig w:usb0="800001E3" w:usb1="1200FFEF" w:usb2="00040000" w:usb3="04000000" w:csb0="00000001" w:csb1="40000000"/>
  </w:font>
  <w:font w:name="华文仿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1C46B">
    <w:pPr>
      <w:pStyle w:val="218"/>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75</w:t>
    </w:r>
    <w:r>
      <w:rPr>
        <w:lang w:val="zh-CN"/>
      </w:rPr>
      <w:fldChar w:fldCharType="end"/>
    </w:r>
  </w:p>
  <w:p w14:paraId="565F2215">
    <w:pPr>
      <w:pStyle w:val="2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4606E">
    <w:pPr>
      <w:pStyle w:val="218"/>
      <w:jc w:val="center"/>
    </w:pPr>
    <w:r>
      <w:fldChar w:fldCharType="begin"/>
    </w:r>
    <w:r>
      <w:rPr>
        <w:rStyle w:val="238"/>
        <w:highlight w:val="white"/>
      </w:rPr>
      <w:instrText xml:space="preserve"> PAGE </w:instrText>
    </w:r>
    <w:r>
      <w:fldChar w:fldCharType="separate"/>
    </w:r>
    <w:r>
      <w:rPr>
        <w:rStyle w:val="238"/>
        <w:highlight w:val="white"/>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F85CF">
    <w:pPr>
      <w:pStyle w:val="220"/>
      <w:jc w:val="left"/>
      <w:rPr>
        <w:rFonts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B2387"/>
    <w:multiLevelType w:val="singleLevel"/>
    <w:tmpl w:val="847B2387"/>
    <w:lvl w:ilvl="0" w:tentative="0">
      <w:start w:val="5"/>
      <w:numFmt w:val="decimal"/>
      <w:lvlText w:val="%1."/>
      <w:lvlJc w:val="left"/>
      <w:pPr>
        <w:tabs>
          <w:tab w:val="left" w:pos="312"/>
        </w:tabs>
      </w:pPr>
    </w:lvl>
  </w:abstractNum>
  <w:abstractNum w:abstractNumId="1">
    <w:nsid w:val="BF205925"/>
    <w:multiLevelType w:val="multilevel"/>
    <w:tmpl w:val="BF205925"/>
    <w:lvl w:ilvl="0" w:tentative="0">
      <w:start w:val="1"/>
      <w:numFmt w:val="decimal"/>
      <w:lvlText w:val="%1."/>
      <w:lvlJc w:val="left"/>
      <w:pPr>
        <w:tabs>
          <w:tab w:val="left" w:pos="425"/>
        </w:tabs>
        <w:ind w:left="425" w:hanging="425"/>
      </w:pPr>
    </w:lvl>
    <w:lvl w:ilvl="1" w:tentative="0">
      <w:start w:val="1"/>
      <w:numFmt w:val="decimal"/>
      <w:pStyle w:val="252"/>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CF092B84"/>
    <w:multiLevelType w:val="multilevel"/>
    <w:tmpl w:val="CF092B84"/>
    <w:lvl w:ilvl="0" w:tentative="0">
      <w:start w:val="1"/>
      <w:numFmt w:val="decimal"/>
      <w:pStyle w:val="251"/>
      <w:lvlText w:val="%1."/>
      <w:lvlJc w:val="left"/>
      <w:pPr>
        <w:tabs>
          <w:tab w:val="left" w:pos="709"/>
        </w:tabs>
        <w:ind w:left="709" w:hanging="709"/>
      </w:pPr>
      <w:rPr>
        <w:color w:val="000000"/>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053208E"/>
    <w:multiLevelType w:val="multilevel"/>
    <w:tmpl w:val="0053208E"/>
    <w:lvl w:ilvl="0" w:tentative="0">
      <w:start w:val="1"/>
      <w:numFmt w:val="upperLetter"/>
      <w:pStyle w:val="24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lvlText w:val="%1."/>
      <w:lvlJc w:val="left"/>
      <w:pPr>
        <w:ind w:left="440" w:hanging="440"/>
      </w:pPr>
    </w:lvl>
    <w:lvl w:ilvl="1" w:tentative="0">
      <w:start w:val="1"/>
      <w:numFmt w:val="decimal"/>
      <w:lvlText w:val="%2、"/>
      <w:lvlJc w:val="left"/>
      <w:pPr>
        <w:ind w:left="800" w:hanging="36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46448E6B"/>
    <w:multiLevelType w:val="singleLevel"/>
    <w:tmpl w:val="46448E6B"/>
    <w:lvl w:ilvl="0" w:tentative="0">
      <w:start w:val="5"/>
      <w:numFmt w:val="decimal"/>
      <w:lvlText w:val="%1."/>
      <w:lvlJc w:val="left"/>
      <w:pPr>
        <w:tabs>
          <w:tab w:val="left" w:pos="312"/>
        </w:tabs>
        <w:ind w:left="481" w:leftChars="0" w:firstLine="0" w:firstLineChars="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footnotePr>
    <w:footnote w:id="0"/>
    <w:footnote w:id="1"/>
  </w:footnotePr>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85085"/>
    <w:rsid w:val="002D7EC6"/>
    <w:rsid w:val="006B31C3"/>
    <w:rsid w:val="007A1658"/>
    <w:rsid w:val="007C0F2D"/>
    <w:rsid w:val="00B20DF2"/>
    <w:rsid w:val="00B92181"/>
    <w:rsid w:val="00F9257D"/>
    <w:rsid w:val="00FB4547"/>
    <w:rsid w:val="015B6D94"/>
    <w:rsid w:val="016025FC"/>
    <w:rsid w:val="01B14C06"/>
    <w:rsid w:val="01C23785"/>
    <w:rsid w:val="02005B8D"/>
    <w:rsid w:val="0222250D"/>
    <w:rsid w:val="02D52EEC"/>
    <w:rsid w:val="02EF2FA8"/>
    <w:rsid w:val="036D2DAF"/>
    <w:rsid w:val="037D56E7"/>
    <w:rsid w:val="03810AED"/>
    <w:rsid w:val="039667A9"/>
    <w:rsid w:val="041F054D"/>
    <w:rsid w:val="043B10FF"/>
    <w:rsid w:val="054A784B"/>
    <w:rsid w:val="0563090D"/>
    <w:rsid w:val="059B00A7"/>
    <w:rsid w:val="05C174D0"/>
    <w:rsid w:val="05EE52C1"/>
    <w:rsid w:val="05F61781"/>
    <w:rsid w:val="06043E8E"/>
    <w:rsid w:val="067A7CBC"/>
    <w:rsid w:val="06986394"/>
    <w:rsid w:val="07041C7C"/>
    <w:rsid w:val="070457D8"/>
    <w:rsid w:val="070B70A3"/>
    <w:rsid w:val="0721638A"/>
    <w:rsid w:val="07237076"/>
    <w:rsid w:val="074676D6"/>
    <w:rsid w:val="07AD2313"/>
    <w:rsid w:val="07D95009"/>
    <w:rsid w:val="07FB42EB"/>
    <w:rsid w:val="082A74C0"/>
    <w:rsid w:val="08E04023"/>
    <w:rsid w:val="08E7715F"/>
    <w:rsid w:val="08F24482"/>
    <w:rsid w:val="08F875BE"/>
    <w:rsid w:val="092F28F0"/>
    <w:rsid w:val="09475E50"/>
    <w:rsid w:val="09CD27F9"/>
    <w:rsid w:val="09E35B78"/>
    <w:rsid w:val="0A2C39C3"/>
    <w:rsid w:val="0A4F76B2"/>
    <w:rsid w:val="0A7D5FCD"/>
    <w:rsid w:val="0AA01CBB"/>
    <w:rsid w:val="0ACC2AB1"/>
    <w:rsid w:val="0B0E131B"/>
    <w:rsid w:val="0B1F7084"/>
    <w:rsid w:val="0B386398"/>
    <w:rsid w:val="0B5D13C3"/>
    <w:rsid w:val="0B725406"/>
    <w:rsid w:val="0BCA29DC"/>
    <w:rsid w:val="0BCD6AE0"/>
    <w:rsid w:val="0C0D30E5"/>
    <w:rsid w:val="0CC97470"/>
    <w:rsid w:val="0CEC108C"/>
    <w:rsid w:val="0D0F4ED6"/>
    <w:rsid w:val="0D164EFB"/>
    <w:rsid w:val="0D7A2398"/>
    <w:rsid w:val="0DF742E8"/>
    <w:rsid w:val="0E0C0E77"/>
    <w:rsid w:val="0E993FB4"/>
    <w:rsid w:val="0EBE0962"/>
    <w:rsid w:val="0EDB7766"/>
    <w:rsid w:val="0EE24651"/>
    <w:rsid w:val="0EEE56EB"/>
    <w:rsid w:val="0F052A35"/>
    <w:rsid w:val="0F67724C"/>
    <w:rsid w:val="0F785683"/>
    <w:rsid w:val="0FFA6159"/>
    <w:rsid w:val="106043C7"/>
    <w:rsid w:val="11511F61"/>
    <w:rsid w:val="11E349AA"/>
    <w:rsid w:val="12105979"/>
    <w:rsid w:val="12746430"/>
    <w:rsid w:val="129D1659"/>
    <w:rsid w:val="13143247"/>
    <w:rsid w:val="13D1738A"/>
    <w:rsid w:val="142C636E"/>
    <w:rsid w:val="147C72F5"/>
    <w:rsid w:val="14AE2BF6"/>
    <w:rsid w:val="150C0679"/>
    <w:rsid w:val="150C52CF"/>
    <w:rsid w:val="15282399"/>
    <w:rsid w:val="1537146E"/>
    <w:rsid w:val="15C34AB0"/>
    <w:rsid w:val="15DF7B3C"/>
    <w:rsid w:val="16093F4F"/>
    <w:rsid w:val="16192669"/>
    <w:rsid w:val="164D181C"/>
    <w:rsid w:val="164D45E3"/>
    <w:rsid w:val="167A1613"/>
    <w:rsid w:val="16816E45"/>
    <w:rsid w:val="170F4451"/>
    <w:rsid w:val="17836BED"/>
    <w:rsid w:val="17852965"/>
    <w:rsid w:val="17A36075"/>
    <w:rsid w:val="18793A94"/>
    <w:rsid w:val="187C78C4"/>
    <w:rsid w:val="188D1AD1"/>
    <w:rsid w:val="18B43502"/>
    <w:rsid w:val="18D25736"/>
    <w:rsid w:val="19375EE1"/>
    <w:rsid w:val="1A18186E"/>
    <w:rsid w:val="1A7D5B75"/>
    <w:rsid w:val="1AA23B8D"/>
    <w:rsid w:val="1AE259D8"/>
    <w:rsid w:val="1B2B3823"/>
    <w:rsid w:val="1B970EB9"/>
    <w:rsid w:val="1BAA299A"/>
    <w:rsid w:val="1BD94E2F"/>
    <w:rsid w:val="1BF65BDF"/>
    <w:rsid w:val="1CA70C88"/>
    <w:rsid w:val="1CBF5FD1"/>
    <w:rsid w:val="1D0936F0"/>
    <w:rsid w:val="1D7B2840"/>
    <w:rsid w:val="1D9D6CB2"/>
    <w:rsid w:val="1DAF52D6"/>
    <w:rsid w:val="1E2F1C65"/>
    <w:rsid w:val="1E4949E9"/>
    <w:rsid w:val="1EAE454F"/>
    <w:rsid w:val="1EE77A61"/>
    <w:rsid w:val="1F1545CE"/>
    <w:rsid w:val="1F4C5B16"/>
    <w:rsid w:val="1F6D49F4"/>
    <w:rsid w:val="1F75414B"/>
    <w:rsid w:val="1F8E4B2C"/>
    <w:rsid w:val="1FEF4E1F"/>
    <w:rsid w:val="20144886"/>
    <w:rsid w:val="204D5FEA"/>
    <w:rsid w:val="20FB5A46"/>
    <w:rsid w:val="2122465F"/>
    <w:rsid w:val="219F0AC7"/>
    <w:rsid w:val="221E379A"/>
    <w:rsid w:val="22356D36"/>
    <w:rsid w:val="22872693"/>
    <w:rsid w:val="228850B7"/>
    <w:rsid w:val="22A74BE8"/>
    <w:rsid w:val="22B42350"/>
    <w:rsid w:val="22EF3388"/>
    <w:rsid w:val="232132C2"/>
    <w:rsid w:val="23256DAA"/>
    <w:rsid w:val="235A2EF8"/>
    <w:rsid w:val="236D2C2B"/>
    <w:rsid w:val="238E0DF3"/>
    <w:rsid w:val="24C513B8"/>
    <w:rsid w:val="25445C0D"/>
    <w:rsid w:val="255D0D3F"/>
    <w:rsid w:val="259721E1"/>
    <w:rsid w:val="26265313"/>
    <w:rsid w:val="266B40F4"/>
    <w:rsid w:val="266C39C0"/>
    <w:rsid w:val="26760048"/>
    <w:rsid w:val="268B161A"/>
    <w:rsid w:val="273B3040"/>
    <w:rsid w:val="275163C0"/>
    <w:rsid w:val="279A12BC"/>
    <w:rsid w:val="27A110F5"/>
    <w:rsid w:val="27B36FEF"/>
    <w:rsid w:val="27F136FF"/>
    <w:rsid w:val="28515A75"/>
    <w:rsid w:val="28722A91"/>
    <w:rsid w:val="28AC2DD8"/>
    <w:rsid w:val="28F86392"/>
    <w:rsid w:val="29693E94"/>
    <w:rsid w:val="29AA0009"/>
    <w:rsid w:val="29AE7AF9"/>
    <w:rsid w:val="2A0239A1"/>
    <w:rsid w:val="2A257164"/>
    <w:rsid w:val="2A551712"/>
    <w:rsid w:val="2A645B52"/>
    <w:rsid w:val="2AEA2DB3"/>
    <w:rsid w:val="2B427898"/>
    <w:rsid w:val="2B560448"/>
    <w:rsid w:val="2B581127"/>
    <w:rsid w:val="2B6F150A"/>
    <w:rsid w:val="2C0E1AD2"/>
    <w:rsid w:val="2C4F0326"/>
    <w:rsid w:val="2CAD5E46"/>
    <w:rsid w:val="2D012636"/>
    <w:rsid w:val="2D1C2FCC"/>
    <w:rsid w:val="2D22290D"/>
    <w:rsid w:val="2D236108"/>
    <w:rsid w:val="2D4B0D13"/>
    <w:rsid w:val="2D746964"/>
    <w:rsid w:val="2D820DFF"/>
    <w:rsid w:val="2DFB52D7"/>
    <w:rsid w:val="2E0221C2"/>
    <w:rsid w:val="2E140111"/>
    <w:rsid w:val="2E3D58F0"/>
    <w:rsid w:val="2E855E80"/>
    <w:rsid w:val="2E9A4AF0"/>
    <w:rsid w:val="2EA414CB"/>
    <w:rsid w:val="2EBD258D"/>
    <w:rsid w:val="30D047F9"/>
    <w:rsid w:val="30DA7426"/>
    <w:rsid w:val="310B3A83"/>
    <w:rsid w:val="312468F3"/>
    <w:rsid w:val="31D9148B"/>
    <w:rsid w:val="31E06CBE"/>
    <w:rsid w:val="322F4323"/>
    <w:rsid w:val="32342B66"/>
    <w:rsid w:val="326E7E26"/>
    <w:rsid w:val="32805DAB"/>
    <w:rsid w:val="328A6C2A"/>
    <w:rsid w:val="32AF043E"/>
    <w:rsid w:val="331704BD"/>
    <w:rsid w:val="3350450F"/>
    <w:rsid w:val="33D75E9F"/>
    <w:rsid w:val="340F388A"/>
    <w:rsid w:val="34401C96"/>
    <w:rsid w:val="346076B1"/>
    <w:rsid w:val="34A2025B"/>
    <w:rsid w:val="3529097C"/>
    <w:rsid w:val="353A5FA1"/>
    <w:rsid w:val="35527ED3"/>
    <w:rsid w:val="35731BF7"/>
    <w:rsid w:val="35A973C7"/>
    <w:rsid w:val="35FB40C6"/>
    <w:rsid w:val="360D204B"/>
    <w:rsid w:val="36472425"/>
    <w:rsid w:val="36625EF3"/>
    <w:rsid w:val="366D02E0"/>
    <w:rsid w:val="3696640E"/>
    <w:rsid w:val="36C7044C"/>
    <w:rsid w:val="36E71407"/>
    <w:rsid w:val="36F60986"/>
    <w:rsid w:val="36FF1994"/>
    <w:rsid w:val="371371EE"/>
    <w:rsid w:val="37FA5E67"/>
    <w:rsid w:val="382B67B9"/>
    <w:rsid w:val="38912A8D"/>
    <w:rsid w:val="389E51DD"/>
    <w:rsid w:val="391F65CE"/>
    <w:rsid w:val="392C4597"/>
    <w:rsid w:val="394915ED"/>
    <w:rsid w:val="39C908AC"/>
    <w:rsid w:val="39D361E5"/>
    <w:rsid w:val="39D569DC"/>
    <w:rsid w:val="3A1C460B"/>
    <w:rsid w:val="3A2160C5"/>
    <w:rsid w:val="3A2E433E"/>
    <w:rsid w:val="3A322081"/>
    <w:rsid w:val="3A925F17"/>
    <w:rsid w:val="3B003F2D"/>
    <w:rsid w:val="3B3836C7"/>
    <w:rsid w:val="3B583D69"/>
    <w:rsid w:val="3B7641EF"/>
    <w:rsid w:val="3B922D1B"/>
    <w:rsid w:val="3BAE5970"/>
    <w:rsid w:val="3BC66F24"/>
    <w:rsid w:val="3BC9431F"/>
    <w:rsid w:val="3BC96A15"/>
    <w:rsid w:val="3BE850ED"/>
    <w:rsid w:val="3C2D0D52"/>
    <w:rsid w:val="3C406CD7"/>
    <w:rsid w:val="3C73265E"/>
    <w:rsid w:val="3C834E15"/>
    <w:rsid w:val="3C8D359E"/>
    <w:rsid w:val="3C9C7C85"/>
    <w:rsid w:val="3CC2593E"/>
    <w:rsid w:val="3CCF5DC2"/>
    <w:rsid w:val="3CF1496B"/>
    <w:rsid w:val="3D1A74B6"/>
    <w:rsid w:val="3D554770"/>
    <w:rsid w:val="3E164470"/>
    <w:rsid w:val="3E1F0B6E"/>
    <w:rsid w:val="3E3068D7"/>
    <w:rsid w:val="3E3D1BF9"/>
    <w:rsid w:val="3E845DE6"/>
    <w:rsid w:val="3EA421BD"/>
    <w:rsid w:val="3EEB27FE"/>
    <w:rsid w:val="3F1B557D"/>
    <w:rsid w:val="3F4279F9"/>
    <w:rsid w:val="3F6557EA"/>
    <w:rsid w:val="3F9E2F24"/>
    <w:rsid w:val="3FB822A8"/>
    <w:rsid w:val="3FDD7189"/>
    <w:rsid w:val="40181D19"/>
    <w:rsid w:val="40356427"/>
    <w:rsid w:val="406E7B8B"/>
    <w:rsid w:val="407A652F"/>
    <w:rsid w:val="412169AB"/>
    <w:rsid w:val="41456B3D"/>
    <w:rsid w:val="416A65A4"/>
    <w:rsid w:val="417411D1"/>
    <w:rsid w:val="417E204F"/>
    <w:rsid w:val="419929E5"/>
    <w:rsid w:val="41B82E6B"/>
    <w:rsid w:val="41BD2B78"/>
    <w:rsid w:val="42256D8F"/>
    <w:rsid w:val="424D3EFC"/>
    <w:rsid w:val="42843DDC"/>
    <w:rsid w:val="42C4395D"/>
    <w:rsid w:val="42C6780A"/>
    <w:rsid w:val="43397FDC"/>
    <w:rsid w:val="438A7EF8"/>
    <w:rsid w:val="43A91320"/>
    <w:rsid w:val="43E5668B"/>
    <w:rsid w:val="445A2900"/>
    <w:rsid w:val="447119F7"/>
    <w:rsid w:val="44966C89"/>
    <w:rsid w:val="44AD59CF"/>
    <w:rsid w:val="44B91288"/>
    <w:rsid w:val="44F543D6"/>
    <w:rsid w:val="45240149"/>
    <w:rsid w:val="45ED00D2"/>
    <w:rsid w:val="460D5750"/>
    <w:rsid w:val="46146ADE"/>
    <w:rsid w:val="46445615"/>
    <w:rsid w:val="46B44C1C"/>
    <w:rsid w:val="46C73652"/>
    <w:rsid w:val="46F20B12"/>
    <w:rsid w:val="470E330A"/>
    <w:rsid w:val="471B72A7"/>
    <w:rsid w:val="472E597E"/>
    <w:rsid w:val="47723ABC"/>
    <w:rsid w:val="47770803"/>
    <w:rsid w:val="47AF2F63"/>
    <w:rsid w:val="47D21ECE"/>
    <w:rsid w:val="47E80223"/>
    <w:rsid w:val="4833303D"/>
    <w:rsid w:val="48360B15"/>
    <w:rsid w:val="48BF5427"/>
    <w:rsid w:val="491E2C8D"/>
    <w:rsid w:val="494476DB"/>
    <w:rsid w:val="49641B2B"/>
    <w:rsid w:val="49792967"/>
    <w:rsid w:val="497E72D1"/>
    <w:rsid w:val="49E41145"/>
    <w:rsid w:val="49ED38CE"/>
    <w:rsid w:val="4A064990"/>
    <w:rsid w:val="4A314103"/>
    <w:rsid w:val="4A413C1A"/>
    <w:rsid w:val="4A75577B"/>
    <w:rsid w:val="4A7638C4"/>
    <w:rsid w:val="4A8B6AF7"/>
    <w:rsid w:val="4ABB4830"/>
    <w:rsid w:val="4ACE3700"/>
    <w:rsid w:val="4AFA62A3"/>
    <w:rsid w:val="4B840262"/>
    <w:rsid w:val="4C194E4E"/>
    <w:rsid w:val="4C385BDA"/>
    <w:rsid w:val="4C8E75EA"/>
    <w:rsid w:val="4CAA1F4A"/>
    <w:rsid w:val="4CD02929"/>
    <w:rsid w:val="4CF03E01"/>
    <w:rsid w:val="4D0D20B3"/>
    <w:rsid w:val="4D2919EB"/>
    <w:rsid w:val="4D9329DF"/>
    <w:rsid w:val="4DB841F3"/>
    <w:rsid w:val="4DC64B62"/>
    <w:rsid w:val="4DE82D2A"/>
    <w:rsid w:val="4E09518A"/>
    <w:rsid w:val="4EB559D2"/>
    <w:rsid w:val="4ED17C62"/>
    <w:rsid w:val="4F090D8C"/>
    <w:rsid w:val="4F0C0C9A"/>
    <w:rsid w:val="4F7253D4"/>
    <w:rsid w:val="4FA90297"/>
    <w:rsid w:val="50033E4B"/>
    <w:rsid w:val="50460E92"/>
    <w:rsid w:val="506F3038"/>
    <w:rsid w:val="50B96C00"/>
    <w:rsid w:val="50E33C7D"/>
    <w:rsid w:val="512F2BED"/>
    <w:rsid w:val="51984A67"/>
    <w:rsid w:val="51AC22C1"/>
    <w:rsid w:val="51C55131"/>
    <w:rsid w:val="51DF4444"/>
    <w:rsid w:val="521D24D2"/>
    <w:rsid w:val="521D6D1B"/>
    <w:rsid w:val="521F256D"/>
    <w:rsid w:val="528E1E2B"/>
    <w:rsid w:val="537F5EDF"/>
    <w:rsid w:val="53901E9A"/>
    <w:rsid w:val="53D77AC9"/>
    <w:rsid w:val="53E73A84"/>
    <w:rsid w:val="54482775"/>
    <w:rsid w:val="54484523"/>
    <w:rsid w:val="54556C40"/>
    <w:rsid w:val="54E65AEA"/>
    <w:rsid w:val="55472A2C"/>
    <w:rsid w:val="554F7B33"/>
    <w:rsid w:val="557C1740"/>
    <w:rsid w:val="55AF2380"/>
    <w:rsid w:val="561F12B3"/>
    <w:rsid w:val="561F3061"/>
    <w:rsid w:val="56710262"/>
    <w:rsid w:val="567B1855"/>
    <w:rsid w:val="5689497F"/>
    <w:rsid w:val="56923937"/>
    <w:rsid w:val="56C02A96"/>
    <w:rsid w:val="572052E3"/>
    <w:rsid w:val="57481B9A"/>
    <w:rsid w:val="57DA4353"/>
    <w:rsid w:val="581110D0"/>
    <w:rsid w:val="585A2598"/>
    <w:rsid w:val="586316C4"/>
    <w:rsid w:val="58E42340"/>
    <w:rsid w:val="58E80082"/>
    <w:rsid w:val="599E2E37"/>
    <w:rsid w:val="5A2A55E4"/>
    <w:rsid w:val="5A3A2B60"/>
    <w:rsid w:val="5A3C6579"/>
    <w:rsid w:val="5A4968FF"/>
    <w:rsid w:val="5A9658BC"/>
    <w:rsid w:val="5A971D60"/>
    <w:rsid w:val="5AC8016B"/>
    <w:rsid w:val="5ADD173D"/>
    <w:rsid w:val="5B573578"/>
    <w:rsid w:val="5B9B5880"/>
    <w:rsid w:val="5BDE39BF"/>
    <w:rsid w:val="5BFE196B"/>
    <w:rsid w:val="5C072ECB"/>
    <w:rsid w:val="5C3830CF"/>
    <w:rsid w:val="5C653798"/>
    <w:rsid w:val="5C7D31D8"/>
    <w:rsid w:val="5C904CB9"/>
    <w:rsid w:val="5C9C18B0"/>
    <w:rsid w:val="5D044077"/>
    <w:rsid w:val="5D123920"/>
    <w:rsid w:val="5DCD4F48"/>
    <w:rsid w:val="5DD45079"/>
    <w:rsid w:val="5DED1C97"/>
    <w:rsid w:val="5E14191A"/>
    <w:rsid w:val="5E257683"/>
    <w:rsid w:val="5E567766"/>
    <w:rsid w:val="5E5A37D0"/>
    <w:rsid w:val="5E9A1E1F"/>
    <w:rsid w:val="5EAC56AE"/>
    <w:rsid w:val="5ED66BCF"/>
    <w:rsid w:val="5EE26493"/>
    <w:rsid w:val="5EFD415C"/>
    <w:rsid w:val="5F434264"/>
    <w:rsid w:val="5F4C772C"/>
    <w:rsid w:val="5F500DF9"/>
    <w:rsid w:val="5F540D97"/>
    <w:rsid w:val="5F773F0E"/>
    <w:rsid w:val="5F8351CE"/>
    <w:rsid w:val="5F9C5723"/>
    <w:rsid w:val="60566219"/>
    <w:rsid w:val="60D158A0"/>
    <w:rsid w:val="60EE1FAE"/>
    <w:rsid w:val="61377DF9"/>
    <w:rsid w:val="613C540F"/>
    <w:rsid w:val="61631C7E"/>
    <w:rsid w:val="619E4A63"/>
    <w:rsid w:val="619F774C"/>
    <w:rsid w:val="61CB4FF7"/>
    <w:rsid w:val="62173786"/>
    <w:rsid w:val="623A1223"/>
    <w:rsid w:val="626C5880"/>
    <w:rsid w:val="629D3C8C"/>
    <w:rsid w:val="62A019CE"/>
    <w:rsid w:val="62DB2A06"/>
    <w:rsid w:val="632779F9"/>
    <w:rsid w:val="632A1297"/>
    <w:rsid w:val="63370CF0"/>
    <w:rsid w:val="636D5D54"/>
    <w:rsid w:val="63B514A9"/>
    <w:rsid w:val="63F975E8"/>
    <w:rsid w:val="63FB4B60"/>
    <w:rsid w:val="63FF0976"/>
    <w:rsid w:val="641206A9"/>
    <w:rsid w:val="64131659"/>
    <w:rsid w:val="64725610"/>
    <w:rsid w:val="647E5D3F"/>
    <w:rsid w:val="6487551C"/>
    <w:rsid w:val="654C7BEB"/>
    <w:rsid w:val="65586C30"/>
    <w:rsid w:val="656C3DE9"/>
    <w:rsid w:val="65D9534B"/>
    <w:rsid w:val="663E5786"/>
    <w:rsid w:val="66723681"/>
    <w:rsid w:val="669C425A"/>
    <w:rsid w:val="66E22FC0"/>
    <w:rsid w:val="67514454"/>
    <w:rsid w:val="675E59B4"/>
    <w:rsid w:val="67D53EC8"/>
    <w:rsid w:val="67DA328C"/>
    <w:rsid w:val="68EB7E6E"/>
    <w:rsid w:val="692F585A"/>
    <w:rsid w:val="693C36F0"/>
    <w:rsid w:val="69717C20"/>
    <w:rsid w:val="6985191D"/>
    <w:rsid w:val="698F6EAC"/>
    <w:rsid w:val="69DD3507"/>
    <w:rsid w:val="69E80EB8"/>
    <w:rsid w:val="6A366774"/>
    <w:rsid w:val="6AC81AC2"/>
    <w:rsid w:val="6AD55F8D"/>
    <w:rsid w:val="6B225676"/>
    <w:rsid w:val="6B3F5E44"/>
    <w:rsid w:val="6B5670CE"/>
    <w:rsid w:val="6BAA319B"/>
    <w:rsid w:val="6BBB1626"/>
    <w:rsid w:val="6BD6583E"/>
    <w:rsid w:val="6C180827"/>
    <w:rsid w:val="6C1D408F"/>
    <w:rsid w:val="6C2E004A"/>
    <w:rsid w:val="6C5F1FB2"/>
    <w:rsid w:val="6C627CF4"/>
    <w:rsid w:val="6C6B4DFB"/>
    <w:rsid w:val="6C896906"/>
    <w:rsid w:val="6C9E6846"/>
    <w:rsid w:val="6CA03477"/>
    <w:rsid w:val="6CF31852"/>
    <w:rsid w:val="6D1C5D12"/>
    <w:rsid w:val="6D217A52"/>
    <w:rsid w:val="6D2B458A"/>
    <w:rsid w:val="6D2B6338"/>
    <w:rsid w:val="6D3A657B"/>
    <w:rsid w:val="6D3E250F"/>
    <w:rsid w:val="6D8D0DA1"/>
    <w:rsid w:val="6DB77A02"/>
    <w:rsid w:val="6DC26C9C"/>
    <w:rsid w:val="6DD02A33"/>
    <w:rsid w:val="6DDD7632"/>
    <w:rsid w:val="6DEE7A91"/>
    <w:rsid w:val="6E0659AC"/>
    <w:rsid w:val="6E1B63AC"/>
    <w:rsid w:val="6E337B9A"/>
    <w:rsid w:val="6ED50C51"/>
    <w:rsid w:val="6F060E0B"/>
    <w:rsid w:val="6F2953DB"/>
    <w:rsid w:val="6F3E67F6"/>
    <w:rsid w:val="6F547DC8"/>
    <w:rsid w:val="6F79782E"/>
    <w:rsid w:val="6FBD2C17"/>
    <w:rsid w:val="70027824"/>
    <w:rsid w:val="700370F8"/>
    <w:rsid w:val="701632CF"/>
    <w:rsid w:val="702A28D7"/>
    <w:rsid w:val="704279C3"/>
    <w:rsid w:val="704404BF"/>
    <w:rsid w:val="704B11CB"/>
    <w:rsid w:val="70891CF3"/>
    <w:rsid w:val="70902438"/>
    <w:rsid w:val="709A3F00"/>
    <w:rsid w:val="70D34D1C"/>
    <w:rsid w:val="71361540"/>
    <w:rsid w:val="7158344A"/>
    <w:rsid w:val="719B1CDE"/>
    <w:rsid w:val="71AC3EEB"/>
    <w:rsid w:val="71E847F7"/>
    <w:rsid w:val="720B2AFF"/>
    <w:rsid w:val="7284736C"/>
    <w:rsid w:val="72A93756"/>
    <w:rsid w:val="72BB1F0C"/>
    <w:rsid w:val="72C43526"/>
    <w:rsid w:val="730D09BA"/>
    <w:rsid w:val="730D6C0C"/>
    <w:rsid w:val="732301DD"/>
    <w:rsid w:val="732B29EE"/>
    <w:rsid w:val="73697BBA"/>
    <w:rsid w:val="737722D7"/>
    <w:rsid w:val="73DD4830"/>
    <w:rsid w:val="747E3DF8"/>
    <w:rsid w:val="749D3FBF"/>
    <w:rsid w:val="74E97204"/>
    <w:rsid w:val="75052F3E"/>
    <w:rsid w:val="750C6A4F"/>
    <w:rsid w:val="751029E3"/>
    <w:rsid w:val="75273889"/>
    <w:rsid w:val="755503F6"/>
    <w:rsid w:val="75C261D8"/>
    <w:rsid w:val="762D1373"/>
    <w:rsid w:val="76430C92"/>
    <w:rsid w:val="764E2556"/>
    <w:rsid w:val="76A71125"/>
    <w:rsid w:val="76D45B15"/>
    <w:rsid w:val="76E95B6B"/>
    <w:rsid w:val="76EB7264"/>
    <w:rsid w:val="76FB4FCD"/>
    <w:rsid w:val="774F28A0"/>
    <w:rsid w:val="77672662"/>
    <w:rsid w:val="77F9775E"/>
    <w:rsid w:val="781024B0"/>
    <w:rsid w:val="783937C4"/>
    <w:rsid w:val="787B3D19"/>
    <w:rsid w:val="78910903"/>
    <w:rsid w:val="78C51205"/>
    <w:rsid w:val="78D43D28"/>
    <w:rsid w:val="78DD2BDC"/>
    <w:rsid w:val="78F63C9E"/>
    <w:rsid w:val="791534AC"/>
    <w:rsid w:val="793238A9"/>
    <w:rsid w:val="79393B8B"/>
    <w:rsid w:val="79464C25"/>
    <w:rsid w:val="79517126"/>
    <w:rsid w:val="797E31CB"/>
    <w:rsid w:val="7988298D"/>
    <w:rsid w:val="79C913B2"/>
    <w:rsid w:val="79E93803"/>
    <w:rsid w:val="79FF6B82"/>
    <w:rsid w:val="7A0D74F1"/>
    <w:rsid w:val="7A18766A"/>
    <w:rsid w:val="7A70182E"/>
    <w:rsid w:val="7A7E261E"/>
    <w:rsid w:val="7A9E45ED"/>
    <w:rsid w:val="7AF10BC1"/>
    <w:rsid w:val="7B5239DC"/>
    <w:rsid w:val="7B8B6908"/>
    <w:rsid w:val="7BB12D12"/>
    <w:rsid w:val="7BDC361F"/>
    <w:rsid w:val="7C030BAC"/>
    <w:rsid w:val="7C174657"/>
    <w:rsid w:val="7C321491"/>
    <w:rsid w:val="7C336FB7"/>
    <w:rsid w:val="7C3945CD"/>
    <w:rsid w:val="7C3A6597"/>
    <w:rsid w:val="7C52568F"/>
    <w:rsid w:val="7C55517F"/>
    <w:rsid w:val="7CA67789"/>
    <w:rsid w:val="7CAF2AE1"/>
    <w:rsid w:val="7D5176F5"/>
    <w:rsid w:val="7D5316BF"/>
    <w:rsid w:val="7D5A0C9F"/>
    <w:rsid w:val="7D8A66FE"/>
    <w:rsid w:val="7E7E6C0F"/>
    <w:rsid w:val="7F2350C1"/>
    <w:rsid w:val="7F6F47AA"/>
    <w:rsid w:val="7FC142EE"/>
    <w:rsid w:val="7FD05FA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2"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0"/>
    <w:qFormat/>
    <w:uiPriority w:val="0"/>
    <w:pPr>
      <w:widowControl/>
      <w:spacing w:before="100" w:beforeAutospacing="1" w:after="100" w:afterAutospacing="1"/>
      <w:jc w:val="left"/>
    </w:pPr>
    <w:rPr>
      <w:rFonts w:hint="default" w:ascii="宋体" w:hAnsi="宋体" w:eastAsia="宋体" w:cs="Times New Roman"/>
      <w:sz w:val="24"/>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Body Text"/>
    <w:basedOn w:val="1"/>
    <w:qFormat/>
    <w:uiPriority w:val="99"/>
    <w:rPr>
      <w:rFonts w:ascii="楷体_GB2312" w:hAnsi="Arial" w:eastAsia="楷体_GB2312"/>
      <w:kern w:val="0"/>
      <w:sz w:val="20"/>
      <w:szCs w:val="20"/>
    </w:rPr>
  </w:style>
  <w:style w:type="paragraph" w:styleId="15">
    <w:name w:val="Body Text Indent"/>
    <w:basedOn w:val="1"/>
    <w:qFormat/>
    <w:uiPriority w:val="0"/>
    <w:pPr>
      <w:widowControl w:val="0"/>
      <w:spacing w:line="240" w:lineRule="auto"/>
      <w:ind w:firstLine="560" w:firstLineChars="200"/>
      <w:jc w:val="both"/>
    </w:pPr>
    <w:rPr>
      <w:rFonts w:ascii="宋体" w:hAnsi="宋体" w:eastAsia="宋体" w:cs="Times New Roman"/>
      <w:sz w:val="28"/>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58"/>
    <w:unhideWhenUsed/>
    <w:qFormat/>
    <w:uiPriority w:val="99"/>
    <w:pPr>
      <w:tabs>
        <w:tab w:val="center" w:pos="7143"/>
        <w:tab w:val="right" w:pos="14287"/>
      </w:tabs>
      <w:spacing w:after="0" w:line="240" w:lineRule="auto"/>
    </w:pPr>
  </w:style>
  <w:style w:type="paragraph" w:styleId="21">
    <w:name w:val="header"/>
    <w:basedOn w:val="1"/>
    <w:link w:val="56"/>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31">
    <w:name w:val="Title"/>
    <w:basedOn w:val="1"/>
    <w:next w:val="1"/>
    <w:link w:val="50"/>
    <w:qFormat/>
    <w:uiPriority w:val="10"/>
    <w:pPr>
      <w:spacing w:before="300" w:after="200"/>
      <w:contextualSpacing/>
    </w:pPr>
    <w:rPr>
      <w:sz w:val="48"/>
      <w:szCs w:val="48"/>
    </w:rPr>
  </w:style>
  <w:style w:type="paragraph" w:styleId="32">
    <w:name w:val="Body Text First Indent 2"/>
    <w:basedOn w:val="15"/>
    <w:unhideWhenUsed/>
    <w:qFormat/>
    <w:uiPriority w:val="2"/>
    <w:pPr>
      <w:ind w:firstLine="420" w:firstLineChars="200"/>
    </w:p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rPr>
  </w:style>
  <w:style w:type="character" w:styleId="38">
    <w:name w:val="footnote reference"/>
    <w:unhideWhenUsed/>
    <w:qFormat/>
    <w:uiPriority w:val="99"/>
    <w:rPr>
      <w:vertAlign w:val="superscript"/>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1"/>
    <w:qFormat/>
    <w:uiPriority w:val="99"/>
  </w:style>
  <w:style w:type="character" w:customStyle="1" w:styleId="57">
    <w:name w:val="Footer Char"/>
    <w:link w:val="20"/>
    <w:qFormat/>
    <w:uiPriority w:val="99"/>
  </w:style>
  <w:style w:type="character" w:customStyle="1" w:styleId="58">
    <w:name w:val="Caption Char"/>
    <w:link w:val="20"/>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193"/>
    <w:qFormat/>
    <w:uiPriority w:val="9"/>
    <w:pPr>
      <w:keepNext/>
      <w:keepLines/>
      <w:spacing w:before="340" w:after="330" w:line="578" w:lineRule="atLeast"/>
      <w:outlineLvl w:val="0"/>
    </w:pPr>
    <w:rPr>
      <w:b/>
      <w:bCs/>
      <w:sz w:val="44"/>
      <w:szCs w:val="44"/>
    </w:rPr>
  </w:style>
  <w:style w:type="paragraph" w:customStyle="1" w:styleId="188">
    <w:name w:val="标题 21"/>
    <w:basedOn w:val="1"/>
    <w:next w:val="1"/>
    <w:link w:val="194"/>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customStyle="1" w:styleId="189">
    <w:name w:val="标题 31"/>
    <w:basedOn w:val="1"/>
    <w:next w:val="1"/>
    <w:link w:val="195"/>
    <w:qFormat/>
    <w:uiPriority w:val="9"/>
    <w:pPr>
      <w:keepNext/>
      <w:keepLines/>
      <w:spacing w:before="260" w:after="260" w:line="416" w:lineRule="atLeast"/>
      <w:outlineLvl w:val="2"/>
    </w:pPr>
    <w:rPr>
      <w:b/>
      <w:bCs/>
      <w:sz w:val="32"/>
      <w:szCs w:val="32"/>
    </w:rPr>
  </w:style>
  <w:style w:type="paragraph" w:customStyle="1" w:styleId="190">
    <w:name w:val="标题 71"/>
    <w:basedOn w:val="1"/>
    <w:next w:val="1"/>
    <w:link w:val="196"/>
    <w:qFormat/>
    <w:uiPriority w:val="9"/>
    <w:pPr>
      <w:keepNext/>
      <w:keepLines/>
      <w:spacing w:before="240" w:after="64" w:line="320" w:lineRule="atLeast"/>
      <w:outlineLvl w:val="6"/>
    </w:pPr>
    <w:rPr>
      <w:b/>
      <w:bCs/>
      <w:sz w:val="24"/>
      <w:szCs w:val="24"/>
    </w:rPr>
  </w:style>
  <w:style w:type="character" w:customStyle="1" w:styleId="191">
    <w:name w:val="默认段落字体1"/>
    <w:link w:val="1"/>
    <w:unhideWhenUsed/>
    <w:qFormat/>
    <w:uiPriority w:val="1"/>
  </w:style>
  <w:style w:type="table" w:customStyle="1" w:styleId="192">
    <w:name w:val="普通表格1"/>
    <w:unhideWhenUsed/>
    <w:qFormat/>
    <w:uiPriority w:val="99"/>
  </w:style>
  <w:style w:type="character" w:customStyle="1" w:styleId="193">
    <w:name w:val="标题 1 字符"/>
    <w:link w:val="187"/>
    <w:qFormat/>
    <w:uiPriority w:val="9"/>
    <w:rPr>
      <w:b/>
      <w:bCs/>
      <w:sz w:val="44"/>
      <w:szCs w:val="44"/>
    </w:rPr>
  </w:style>
  <w:style w:type="character" w:customStyle="1" w:styleId="194">
    <w:name w:val="标题 2 字符"/>
    <w:link w:val="188"/>
    <w:qFormat/>
    <w:uiPriority w:val="9"/>
    <w:rPr>
      <w:rFonts w:ascii="幼圆" w:hAnsi="Arial" w:eastAsia="楷体_GB2312" w:cs="Times New Roman"/>
      <w:b/>
      <w:sz w:val="24"/>
      <w:szCs w:val="20"/>
    </w:rPr>
  </w:style>
  <w:style w:type="character" w:customStyle="1" w:styleId="195">
    <w:name w:val="标题 3 字符"/>
    <w:link w:val="189"/>
    <w:qFormat/>
    <w:uiPriority w:val="9"/>
    <w:rPr>
      <w:b/>
      <w:bCs/>
      <w:sz w:val="32"/>
      <w:szCs w:val="32"/>
    </w:rPr>
  </w:style>
  <w:style w:type="character" w:customStyle="1" w:styleId="196">
    <w:name w:val="标题 7 字符"/>
    <w:link w:val="190"/>
    <w:semiHidden/>
    <w:qFormat/>
    <w:uiPriority w:val="9"/>
    <w:rPr>
      <w:b/>
      <w:bCs/>
      <w:sz w:val="24"/>
      <w:szCs w:val="24"/>
    </w:rPr>
  </w:style>
  <w:style w:type="paragraph" w:customStyle="1" w:styleId="197">
    <w:name w:val="列表 31"/>
    <w:basedOn w:val="1"/>
    <w:qFormat/>
    <w:uiPriority w:val="0"/>
    <w:pPr>
      <w:spacing w:line="240" w:lineRule="auto"/>
      <w:ind w:left="100" w:hanging="200"/>
    </w:pPr>
    <w:rPr>
      <w:rFonts w:ascii="Times New Roman" w:hAnsi="Times New Roman" w:eastAsia="宋体" w:cs="Times New Roman"/>
      <w:szCs w:val="21"/>
    </w:rPr>
  </w:style>
  <w:style w:type="paragraph" w:customStyle="1" w:styleId="198">
    <w:name w:val="目录 71"/>
    <w:basedOn w:val="1"/>
    <w:next w:val="1"/>
    <w:unhideWhenUsed/>
    <w:qFormat/>
    <w:uiPriority w:val="39"/>
    <w:pPr>
      <w:ind w:left="2520"/>
    </w:pPr>
    <w:rPr>
      <w:rFonts w:ascii="等线" w:hAnsi="等线" w:eastAsia="等线" w:cs="Times New Roman"/>
    </w:rPr>
  </w:style>
  <w:style w:type="paragraph" w:customStyle="1" w:styleId="199">
    <w:name w:val="正文缩进1"/>
    <w:basedOn w:val="1"/>
    <w:link w:val="200"/>
    <w:qFormat/>
    <w:uiPriority w:val="0"/>
    <w:pPr>
      <w:spacing w:line="240" w:lineRule="auto"/>
      <w:ind w:firstLine="420"/>
    </w:pPr>
    <w:rPr>
      <w:rFonts w:ascii="Times New Roman" w:hAnsi="Times New Roman" w:eastAsia="宋体" w:cs="Times New Roman"/>
      <w:szCs w:val="20"/>
    </w:rPr>
  </w:style>
  <w:style w:type="character" w:customStyle="1" w:styleId="200">
    <w:name w:val="正文缩进 字符"/>
    <w:link w:val="199"/>
    <w:qFormat/>
    <w:uiPriority w:val="0"/>
    <w:rPr>
      <w:rFonts w:ascii="Times New Roman" w:hAnsi="Times New Roman" w:eastAsia="宋体" w:cs="Times New Roman"/>
      <w:szCs w:val="20"/>
    </w:rPr>
  </w:style>
  <w:style w:type="paragraph" w:customStyle="1" w:styleId="201">
    <w:name w:val="批注文字1"/>
    <w:basedOn w:val="1"/>
    <w:link w:val="202"/>
    <w:unhideWhenUsed/>
    <w:qFormat/>
    <w:uiPriority w:val="99"/>
    <w:pPr>
      <w:spacing w:line="360" w:lineRule="auto"/>
      <w:jc w:val="left"/>
    </w:pPr>
    <w:rPr>
      <w:rFonts w:ascii="Times New Roman" w:hAnsi="Times New Roman"/>
      <w:sz w:val="24"/>
      <w:szCs w:val="24"/>
    </w:rPr>
  </w:style>
  <w:style w:type="character" w:customStyle="1" w:styleId="202">
    <w:name w:val="批注文字 字符"/>
    <w:link w:val="201"/>
    <w:qFormat/>
    <w:uiPriority w:val="99"/>
    <w:rPr>
      <w:rFonts w:ascii="Times New Roman" w:hAnsi="Times New Roman"/>
      <w:sz w:val="24"/>
      <w:szCs w:val="24"/>
    </w:rPr>
  </w:style>
  <w:style w:type="paragraph" w:customStyle="1" w:styleId="203">
    <w:name w:val="正文文本1"/>
    <w:basedOn w:val="1"/>
    <w:next w:val="1"/>
    <w:link w:val="204"/>
    <w:qFormat/>
    <w:uiPriority w:val="0"/>
    <w:pPr>
      <w:spacing w:line="240" w:lineRule="auto"/>
    </w:pPr>
    <w:rPr>
      <w:rFonts w:ascii="楷体_GB2312" w:hAnsi="Arial" w:eastAsia="楷体_GB2312" w:cs="Times New Roman"/>
      <w:sz w:val="28"/>
      <w:szCs w:val="20"/>
    </w:rPr>
  </w:style>
  <w:style w:type="character" w:customStyle="1" w:styleId="204">
    <w:name w:val="正文文本 字符"/>
    <w:link w:val="203"/>
    <w:qFormat/>
    <w:uiPriority w:val="0"/>
    <w:rPr>
      <w:rFonts w:ascii="楷体_GB2312" w:hAnsi="Arial" w:eastAsia="楷体_GB2312" w:cs="Times New Roman"/>
      <w:sz w:val="28"/>
      <w:szCs w:val="20"/>
    </w:rPr>
  </w:style>
  <w:style w:type="paragraph" w:customStyle="1" w:styleId="205">
    <w:name w:val="正文文本缩进1"/>
    <w:basedOn w:val="1"/>
    <w:link w:val="206"/>
    <w:unhideWhenUsed/>
    <w:qFormat/>
    <w:uiPriority w:val="99"/>
    <w:pPr>
      <w:spacing w:after="120"/>
      <w:ind w:left="420"/>
    </w:pPr>
  </w:style>
  <w:style w:type="character" w:customStyle="1" w:styleId="206">
    <w:name w:val="正文文本缩进 字符"/>
    <w:link w:val="205"/>
    <w:semiHidden/>
    <w:qFormat/>
    <w:uiPriority w:val="99"/>
  </w:style>
  <w:style w:type="paragraph" w:customStyle="1" w:styleId="207">
    <w:name w:val="列表接续1"/>
    <w:basedOn w:val="1"/>
    <w:unhideWhenUsed/>
    <w:qFormat/>
    <w:uiPriority w:val="99"/>
    <w:pPr>
      <w:spacing w:after="120"/>
      <w:ind w:left="420"/>
      <w:contextualSpacing/>
    </w:pPr>
  </w:style>
  <w:style w:type="paragraph" w:customStyle="1" w:styleId="208">
    <w:name w:val="文本块1"/>
    <w:basedOn w:val="1"/>
    <w:qFormat/>
    <w:uiPriority w:val="0"/>
    <w:pPr>
      <w:spacing w:line="240" w:lineRule="auto"/>
      <w:ind w:left="630" w:right="630"/>
      <w:jc w:val="center"/>
    </w:pPr>
    <w:rPr>
      <w:rFonts w:ascii="宋体" w:hAnsi="Times New Roman" w:eastAsia="宋体" w:cs="Times New Roman"/>
      <w:b/>
      <w:sz w:val="32"/>
      <w:szCs w:val="24"/>
    </w:rPr>
  </w:style>
  <w:style w:type="paragraph" w:customStyle="1" w:styleId="209">
    <w:name w:val="目录 51"/>
    <w:basedOn w:val="1"/>
    <w:next w:val="1"/>
    <w:unhideWhenUsed/>
    <w:qFormat/>
    <w:uiPriority w:val="39"/>
    <w:pPr>
      <w:ind w:left="1680"/>
    </w:pPr>
    <w:rPr>
      <w:rFonts w:ascii="等线" w:hAnsi="等线" w:eastAsia="等线" w:cs="Times New Roman"/>
    </w:rPr>
  </w:style>
  <w:style w:type="paragraph" w:customStyle="1" w:styleId="210">
    <w:name w:val="目录 31"/>
    <w:basedOn w:val="1"/>
    <w:next w:val="1"/>
    <w:qFormat/>
    <w:uiPriority w:val="39"/>
    <w:pPr>
      <w:spacing w:line="240" w:lineRule="auto"/>
      <w:ind w:left="420"/>
      <w:jc w:val="left"/>
    </w:pPr>
    <w:rPr>
      <w:rFonts w:ascii="Times New Roman" w:hAnsi="Times New Roman" w:eastAsia="宋体" w:cs="Times New Roman"/>
      <w:iCs/>
      <w:szCs w:val="24"/>
    </w:rPr>
  </w:style>
  <w:style w:type="paragraph" w:customStyle="1" w:styleId="211">
    <w:name w:val="纯文本1"/>
    <w:basedOn w:val="1"/>
    <w:link w:val="212"/>
    <w:qFormat/>
    <w:uiPriority w:val="0"/>
    <w:pPr>
      <w:spacing w:line="240" w:lineRule="auto"/>
    </w:pPr>
    <w:rPr>
      <w:rFonts w:ascii="宋体" w:hAnsi="Courier New" w:cs="Courier New"/>
      <w:szCs w:val="21"/>
    </w:rPr>
  </w:style>
  <w:style w:type="character" w:customStyle="1" w:styleId="212">
    <w:name w:val="纯文本 字符"/>
    <w:link w:val="211"/>
    <w:qFormat/>
    <w:uiPriority w:val="0"/>
    <w:rPr>
      <w:rFonts w:ascii="宋体" w:hAnsi="Courier New" w:cs="Courier New"/>
      <w:szCs w:val="21"/>
    </w:rPr>
  </w:style>
  <w:style w:type="paragraph" w:customStyle="1" w:styleId="213">
    <w:name w:val="目录 81"/>
    <w:basedOn w:val="1"/>
    <w:next w:val="1"/>
    <w:unhideWhenUsed/>
    <w:qFormat/>
    <w:uiPriority w:val="39"/>
    <w:pPr>
      <w:ind w:left="2940"/>
    </w:pPr>
    <w:rPr>
      <w:rFonts w:ascii="等线" w:hAnsi="等线" w:eastAsia="等线" w:cs="Times New Roman"/>
    </w:rPr>
  </w:style>
  <w:style w:type="paragraph" w:customStyle="1" w:styleId="214">
    <w:name w:val="日期1"/>
    <w:basedOn w:val="1"/>
    <w:next w:val="1"/>
    <w:link w:val="215"/>
    <w:qFormat/>
    <w:uiPriority w:val="0"/>
    <w:pPr>
      <w:spacing w:line="240" w:lineRule="auto"/>
      <w:ind w:left="100"/>
    </w:pPr>
    <w:rPr>
      <w:rFonts w:ascii="仿宋_GB2312" w:hAnsi="Times New Roman" w:eastAsia="仿宋_GB2312" w:cs="Times New Roman"/>
      <w:b/>
      <w:sz w:val="36"/>
      <w:szCs w:val="24"/>
    </w:rPr>
  </w:style>
  <w:style w:type="character" w:customStyle="1" w:styleId="215">
    <w:name w:val="日期 字符"/>
    <w:link w:val="214"/>
    <w:qFormat/>
    <w:uiPriority w:val="0"/>
    <w:rPr>
      <w:rFonts w:ascii="仿宋_GB2312" w:hAnsi="Times New Roman" w:eastAsia="仿宋_GB2312" w:cs="Times New Roman"/>
      <w:b/>
      <w:sz w:val="36"/>
      <w:szCs w:val="24"/>
    </w:rPr>
  </w:style>
  <w:style w:type="paragraph" w:customStyle="1" w:styleId="216">
    <w:name w:val="批注框文本1"/>
    <w:basedOn w:val="1"/>
    <w:link w:val="217"/>
    <w:unhideWhenUsed/>
    <w:qFormat/>
    <w:uiPriority w:val="99"/>
    <w:pPr>
      <w:spacing w:line="240" w:lineRule="auto"/>
    </w:pPr>
    <w:rPr>
      <w:sz w:val="18"/>
      <w:szCs w:val="18"/>
    </w:rPr>
  </w:style>
  <w:style w:type="character" w:customStyle="1" w:styleId="217">
    <w:name w:val="批注框文本 字符"/>
    <w:link w:val="216"/>
    <w:semiHidden/>
    <w:qFormat/>
    <w:uiPriority w:val="99"/>
    <w:rPr>
      <w:sz w:val="18"/>
      <w:szCs w:val="18"/>
    </w:rPr>
  </w:style>
  <w:style w:type="paragraph" w:customStyle="1" w:styleId="218">
    <w:name w:val="页脚11"/>
    <w:basedOn w:val="1"/>
    <w:link w:val="219"/>
    <w:unhideWhenUsed/>
    <w:qFormat/>
    <w:uiPriority w:val="99"/>
    <w:pPr>
      <w:tabs>
        <w:tab w:val="center" w:pos="4153"/>
        <w:tab w:val="right" w:pos="8306"/>
      </w:tabs>
      <w:spacing w:line="240" w:lineRule="atLeast"/>
      <w:jc w:val="left"/>
    </w:pPr>
    <w:rPr>
      <w:sz w:val="18"/>
      <w:szCs w:val="18"/>
    </w:rPr>
  </w:style>
  <w:style w:type="character" w:customStyle="1" w:styleId="219">
    <w:name w:val="页脚 字符"/>
    <w:link w:val="218"/>
    <w:qFormat/>
    <w:uiPriority w:val="99"/>
    <w:rPr>
      <w:sz w:val="18"/>
      <w:szCs w:val="18"/>
    </w:rPr>
  </w:style>
  <w:style w:type="paragraph" w:customStyle="1" w:styleId="220">
    <w:name w:val="页眉11"/>
    <w:basedOn w:val="1"/>
    <w:link w:val="221"/>
    <w:unhideWhenUsed/>
    <w:qFormat/>
    <w:uiPriority w:val="99"/>
    <w:pPr>
      <w:pBdr>
        <w:bottom w:val="single" w:color="000000" w:sz="6" w:space="1"/>
      </w:pBdr>
      <w:tabs>
        <w:tab w:val="center" w:pos="4153"/>
        <w:tab w:val="right" w:pos="8306"/>
      </w:tabs>
      <w:spacing w:line="240" w:lineRule="atLeast"/>
      <w:jc w:val="center"/>
    </w:pPr>
    <w:rPr>
      <w:sz w:val="18"/>
      <w:szCs w:val="18"/>
    </w:rPr>
  </w:style>
  <w:style w:type="character" w:customStyle="1" w:styleId="221">
    <w:name w:val="页眉 字符"/>
    <w:link w:val="220"/>
    <w:qFormat/>
    <w:uiPriority w:val="99"/>
    <w:rPr>
      <w:sz w:val="18"/>
      <w:szCs w:val="18"/>
    </w:rPr>
  </w:style>
  <w:style w:type="paragraph" w:customStyle="1" w:styleId="222">
    <w:name w:val="目录 11"/>
    <w:basedOn w:val="1"/>
    <w:next w:val="1"/>
    <w:qFormat/>
    <w:uiPriority w:val="39"/>
    <w:pPr>
      <w:spacing w:before="120" w:after="120"/>
      <w:jc w:val="left"/>
    </w:pPr>
    <w:rPr>
      <w:rFonts w:ascii="楷体_GB2312" w:hAnsi="Times New Roman" w:eastAsia="宋体" w:cs="Times New Roman"/>
      <w:b/>
      <w:bCs/>
      <w:caps/>
      <w:sz w:val="44"/>
      <w:szCs w:val="44"/>
    </w:rPr>
  </w:style>
  <w:style w:type="paragraph" w:customStyle="1" w:styleId="223">
    <w:name w:val="目录 41"/>
    <w:basedOn w:val="1"/>
    <w:next w:val="1"/>
    <w:unhideWhenUsed/>
    <w:qFormat/>
    <w:uiPriority w:val="39"/>
    <w:pPr>
      <w:ind w:left="1260"/>
    </w:pPr>
    <w:rPr>
      <w:rFonts w:ascii="等线" w:hAnsi="等线" w:eastAsia="等线" w:cs="Times New Roman"/>
    </w:rPr>
  </w:style>
  <w:style w:type="paragraph" w:customStyle="1" w:styleId="224">
    <w:name w:val="索引标题1"/>
    <w:basedOn w:val="1"/>
    <w:next w:val="225"/>
    <w:qFormat/>
    <w:uiPriority w:val="0"/>
    <w:pPr>
      <w:spacing w:line="500" w:lineRule="exact"/>
    </w:pPr>
    <w:rPr>
      <w:rFonts w:ascii="仿宋_GB2312"/>
      <w:sz w:val="28"/>
    </w:rPr>
  </w:style>
  <w:style w:type="paragraph" w:customStyle="1" w:styleId="225">
    <w:name w:val="索引 11"/>
    <w:basedOn w:val="1"/>
    <w:next w:val="1"/>
    <w:qFormat/>
    <w:uiPriority w:val="0"/>
    <w:rPr>
      <w:sz w:val="21"/>
      <w:szCs w:val="22"/>
    </w:rPr>
  </w:style>
  <w:style w:type="paragraph" w:customStyle="1" w:styleId="226">
    <w:name w:val="目录 61"/>
    <w:basedOn w:val="1"/>
    <w:next w:val="1"/>
    <w:unhideWhenUsed/>
    <w:qFormat/>
    <w:uiPriority w:val="39"/>
    <w:pPr>
      <w:ind w:left="2100"/>
    </w:pPr>
    <w:rPr>
      <w:rFonts w:ascii="等线" w:hAnsi="等线" w:eastAsia="等线" w:cs="Times New Roman"/>
    </w:rPr>
  </w:style>
  <w:style w:type="paragraph" w:customStyle="1" w:styleId="227">
    <w:name w:val="正文文本缩进 31"/>
    <w:basedOn w:val="1"/>
    <w:link w:val="228"/>
    <w:unhideWhenUsed/>
    <w:qFormat/>
    <w:uiPriority w:val="99"/>
    <w:pPr>
      <w:spacing w:after="120"/>
      <w:ind w:left="420"/>
    </w:pPr>
    <w:rPr>
      <w:sz w:val="16"/>
      <w:szCs w:val="16"/>
    </w:rPr>
  </w:style>
  <w:style w:type="character" w:customStyle="1" w:styleId="228">
    <w:name w:val="正文文本缩进 3 字符"/>
    <w:link w:val="227"/>
    <w:semiHidden/>
    <w:qFormat/>
    <w:uiPriority w:val="99"/>
    <w:rPr>
      <w:sz w:val="16"/>
      <w:szCs w:val="16"/>
    </w:rPr>
  </w:style>
  <w:style w:type="paragraph" w:customStyle="1" w:styleId="229">
    <w:name w:val="目录 21"/>
    <w:basedOn w:val="1"/>
    <w:next w:val="1"/>
    <w:unhideWhenUsed/>
    <w:qFormat/>
    <w:uiPriority w:val="39"/>
    <w:pPr>
      <w:ind w:left="200"/>
    </w:pPr>
  </w:style>
  <w:style w:type="paragraph" w:customStyle="1" w:styleId="230">
    <w:name w:val="目录 91"/>
    <w:basedOn w:val="1"/>
    <w:next w:val="1"/>
    <w:unhideWhenUsed/>
    <w:qFormat/>
    <w:uiPriority w:val="39"/>
    <w:pPr>
      <w:ind w:left="3360"/>
    </w:pPr>
    <w:rPr>
      <w:rFonts w:ascii="等线" w:hAnsi="等线" w:eastAsia="等线" w:cs="Times New Roman"/>
    </w:rPr>
  </w:style>
  <w:style w:type="paragraph" w:customStyle="1" w:styleId="231">
    <w:name w:val="普通(网站)1"/>
    <w:basedOn w:val="1"/>
    <w:link w:val="232"/>
    <w:qFormat/>
    <w:uiPriority w:val="99"/>
    <w:pPr>
      <w:widowControl/>
      <w:spacing w:before="100" w:beforeAutospacing="1" w:after="100" w:afterAutospacing="1" w:line="240" w:lineRule="auto"/>
      <w:jc w:val="left"/>
    </w:pPr>
    <w:rPr>
      <w:rFonts w:ascii="宋体" w:hAnsi="宋体" w:eastAsia="宋体" w:cs="宋体"/>
      <w:color w:val="000000"/>
      <w:sz w:val="24"/>
      <w:szCs w:val="24"/>
    </w:rPr>
  </w:style>
  <w:style w:type="character" w:customStyle="1" w:styleId="232">
    <w:name w:val="普通(网站) 字符"/>
    <w:link w:val="231"/>
    <w:qFormat/>
    <w:uiPriority w:val="0"/>
    <w:rPr>
      <w:rFonts w:ascii="宋体" w:hAnsi="宋体" w:eastAsia="宋体" w:cs="宋体"/>
      <w:color w:val="000000"/>
      <w:sz w:val="24"/>
      <w:szCs w:val="24"/>
    </w:rPr>
  </w:style>
  <w:style w:type="paragraph" w:customStyle="1" w:styleId="233">
    <w:name w:val="批注主题1"/>
    <w:basedOn w:val="201"/>
    <w:next w:val="201"/>
    <w:link w:val="234"/>
    <w:unhideWhenUsed/>
    <w:qFormat/>
    <w:uiPriority w:val="99"/>
    <w:pPr>
      <w:spacing w:line="240" w:lineRule="auto"/>
    </w:pPr>
    <w:rPr>
      <w:rFonts w:ascii="Calibri" w:hAnsi="Calibri"/>
      <w:b/>
      <w:bCs/>
      <w:sz w:val="21"/>
      <w:szCs w:val="22"/>
      <w:lang w:val="en-US" w:eastAsia="zh-CN"/>
    </w:rPr>
  </w:style>
  <w:style w:type="character" w:customStyle="1" w:styleId="234">
    <w:name w:val="批注主题 字符"/>
    <w:link w:val="233"/>
    <w:semiHidden/>
    <w:qFormat/>
    <w:uiPriority w:val="99"/>
    <w:rPr>
      <w:rFonts w:ascii="Times New Roman" w:hAnsi="Times New Roman"/>
      <w:b/>
      <w:bCs/>
      <w:sz w:val="21"/>
      <w:szCs w:val="22"/>
    </w:rPr>
  </w:style>
  <w:style w:type="paragraph" w:customStyle="1" w:styleId="235">
    <w:name w:val="正文首行缩进1"/>
    <w:basedOn w:val="203"/>
    <w:unhideWhenUsed/>
    <w:qFormat/>
    <w:uiPriority w:val="0"/>
    <w:pPr>
      <w:spacing w:after="120"/>
      <w:ind w:firstLine="420"/>
    </w:pPr>
    <w:rPr>
      <w:rFonts w:ascii="Arial" w:eastAsia="宋体"/>
      <w:sz w:val="21"/>
      <w:szCs w:val="21"/>
    </w:rPr>
  </w:style>
  <w:style w:type="table" w:customStyle="1" w:styleId="236">
    <w:name w:val="网格型1"/>
    <w:basedOn w:val="192"/>
    <w:qFormat/>
    <w:uiPriority w:val="59"/>
    <w:pPr>
      <w:spacing w:line="240" w:lineRule="auto"/>
    </w:pPr>
  </w:style>
  <w:style w:type="character" w:customStyle="1" w:styleId="237">
    <w:name w:val="要点1"/>
    <w:link w:val="1"/>
    <w:qFormat/>
    <w:uiPriority w:val="22"/>
    <w:rPr>
      <w:b/>
      <w:bCs/>
    </w:rPr>
  </w:style>
  <w:style w:type="character" w:customStyle="1" w:styleId="238">
    <w:name w:val="页码11"/>
    <w:link w:val="1"/>
    <w:qFormat/>
    <w:uiPriority w:val="0"/>
  </w:style>
  <w:style w:type="character" w:customStyle="1" w:styleId="239">
    <w:name w:val="超链接11"/>
    <w:link w:val="1"/>
    <w:qFormat/>
    <w:uiPriority w:val="99"/>
    <w:rPr>
      <w:color w:val="0000FF"/>
      <w:u w:val="single"/>
    </w:rPr>
  </w:style>
  <w:style w:type="character" w:customStyle="1" w:styleId="240">
    <w:name w:val="批注引用1"/>
    <w:link w:val="1"/>
    <w:unhideWhenUsed/>
    <w:qFormat/>
    <w:uiPriority w:val="99"/>
    <w:rPr>
      <w:sz w:val="21"/>
      <w:szCs w:val="21"/>
    </w:rPr>
  </w:style>
  <w:style w:type="paragraph" w:customStyle="1" w:styleId="241">
    <w:name w:val="Normal_13"/>
    <w:qFormat/>
    <w:uiPriority w:val="0"/>
    <w:pPr>
      <w:widowControl w:val="0"/>
      <w:jc w:val="both"/>
    </w:pPr>
    <w:rPr>
      <w:rFonts w:hint="default" w:ascii="Times New Roman" w:hAnsi="Times New Roman" w:eastAsia="宋体" w:cs="Times New Roman"/>
      <w:sz w:val="21"/>
      <w:szCs w:val="22"/>
      <w:lang w:bidi="ar-SA"/>
    </w:rPr>
  </w:style>
  <w:style w:type="character" w:customStyle="1" w:styleId="242">
    <w:name w:val="页码1"/>
    <w:link w:val="1"/>
    <w:qFormat/>
    <w:uiPriority w:val="0"/>
  </w:style>
  <w:style w:type="paragraph" w:customStyle="1" w:styleId="243">
    <w:name w:val="正文1"/>
    <w:basedOn w:val="1"/>
    <w:qFormat/>
    <w:uiPriority w:val="0"/>
    <w:pPr>
      <w:spacing w:line="360" w:lineRule="auto"/>
      <w:ind w:firstLine="361"/>
    </w:pPr>
    <w:rPr>
      <w:rFonts w:ascii="宋体" w:hAnsi="宋体"/>
      <w:szCs w:val="24"/>
    </w:rPr>
  </w:style>
  <w:style w:type="paragraph" w:customStyle="1" w:styleId="244">
    <w:name w:val="列表段落"/>
    <w:basedOn w:val="1"/>
    <w:qFormat/>
    <w:uiPriority w:val="34"/>
    <w:pPr>
      <w:spacing w:line="240" w:lineRule="auto"/>
      <w:ind w:firstLine="420"/>
    </w:pPr>
    <w:rPr>
      <w:rFonts w:ascii="等线" w:hAnsi="等线" w:eastAsia="等线" w:cs="宋体"/>
    </w:rPr>
  </w:style>
  <w:style w:type="character" w:customStyle="1" w:styleId="245">
    <w:name w:val="htd0"/>
    <w:link w:val="1"/>
    <w:qFormat/>
    <w:uiPriority w:val="0"/>
  </w:style>
  <w:style w:type="paragraph" w:customStyle="1" w:styleId="246">
    <w:name w:val="附录1"/>
    <w:qFormat/>
    <w:uiPriority w:val="0"/>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customStyle="1" w:styleId="247">
    <w:name w:val="正文缩进 Char3"/>
    <w:link w:val="1"/>
    <w:qFormat/>
    <w:uiPriority w:val="0"/>
    <w:rPr>
      <w:rFonts w:ascii="Times New Roman" w:hAnsi="Times New Roman" w:eastAsia="宋体" w:cs="Times New Roman"/>
      <w:szCs w:val="24"/>
    </w:rPr>
  </w:style>
  <w:style w:type="character" w:customStyle="1" w:styleId="248">
    <w:name w:val="纯文本 Char"/>
    <w:link w:val="1"/>
    <w:semiHidden/>
    <w:qFormat/>
    <w:uiPriority w:val="99"/>
    <w:rPr>
      <w:rFonts w:ascii="宋体" w:hAnsi="Courier New" w:eastAsia="宋体" w:cs="Courier New"/>
      <w:szCs w:val="21"/>
    </w:rPr>
  </w:style>
  <w:style w:type="paragraph" w:customStyle="1" w:styleId="249">
    <w:name w:val="Andy_正文格式"/>
    <w:basedOn w:val="1"/>
    <w:qFormat/>
    <w:uiPriority w:val="0"/>
    <w:pPr>
      <w:spacing w:line="240" w:lineRule="auto"/>
      <w:ind w:firstLine="560"/>
      <w:jc w:val="left"/>
    </w:pPr>
    <w:rPr>
      <w:rFonts w:ascii="仿宋_GB2312" w:hAnsi="Times New Roman" w:eastAsia="仿宋_GB2312" w:cs="Times New Roman"/>
      <w:sz w:val="28"/>
      <w:szCs w:val="28"/>
    </w:rPr>
  </w:style>
  <w:style w:type="character" w:customStyle="1" w:styleId="250">
    <w:name w:val="p141"/>
    <w:link w:val="1"/>
    <w:qFormat/>
    <w:uiPriority w:val="0"/>
    <w:rPr>
      <w:rFonts w:ascii="Calibri" w:hAnsi="Calibri" w:eastAsia="宋体" w:cs="宋体"/>
      <w:sz w:val="21"/>
      <w:szCs w:val="21"/>
      <w:lang w:val="en-US" w:eastAsia="zh-CN" w:bidi="ar-SA"/>
    </w:rPr>
  </w:style>
  <w:style w:type="paragraph" w:customStyle="1" w:styleId="251">
    <w:name w:val="样式 宋体 五号 两端对齐 行距: 单倍行距"/>
    <w:basedOn w:val="1"/>
    <w:qFormat/>
    <w:uiPriority w:val="0"/>
    <w:pPr>
      <w:numPr>
        <w:ilvl w:val="0"/>
        <w:numId w:val="2"/>
      </w:numPr>
      <w:spacing w:line="240" w:lineRule="auto"/>
      <w:ind w:left="0" w:firstLine="0"/>
    </w:pPr>
    <w:rPr>
      <w:rFonts w:ascii="宋体" w:hAnsi="宋体" w:eastAsia="宋体" w:cs="宋体"/>
      <w:szCs w:val="20"/>
    </w:rPr>
  </w:style>
  <w:style w:type="paragraph" w:customStyle="1" w:styleId="252">
    <w:name w:val="样式1"/>
    <w:basedOn w:val="1"/>
    <w:qFormat/>
    <w:uiPriority w:val="0"/>
    <w:pPr>
      <w:numPr>
        <w:ilvl w:val="1"/>
        <w:numId w:val="3"/>
      </w:numPr>
      <w:spacing w:line="240" w:lineRule="auto"/>
    </w:pPr>
    <w:rPr>
      <w:rFonts w:ascii="宋体" w:hAnsi="宋体" w:eastAsia="宋体" w:cs="Times New Roman"/>
      <w:szCs w:val="21"/>
    </w:rPr>
  </w:style>
  <w:style w:type="paragraph" w:customStyle="1" w:styleId="253">
    <w:name w:val="Char"/>
    <w:basedOn w:val="1"/>
    <w:qFormat/>
    <w:uiPriority w:val="0"/>
    <w:pPr>
      <w:tabs>
        <w:tab w:val="left" w:pos="360"/>
      </w:tabs>
      <w:spacing w:line="240" w:lineRule="auto"/>
      <w:ind w:firstLine="200"/>
    </w:pPr>
    <w:rPr>
      <w:rFonts w:ascii="Times New Roman" w:hAnsi="Times New Roman" w:eastAsia="宋体" w:cs="Times New Roman"/>
      <w:sz w:val="28"/>
      <w:szCs w:val="30"/>
    </w:rPr>
  </w:style>
  <w:style w:type="paragraph" w:customStyle="1" w:styleId="254">
    <w:name w:val="列出段落3"/>
    <w:basedOn w:val="1"/>
    <w:qFormat/>
    <w:uiPriority w:val="99"/>
    <w:pPr>
      <w:spacing w:line="240" w:lineRule="auto"/>
      <w:ind w:firstLine="420"/>
    </w:pPr>
    <w:rPr>
      <w:rFonts w:ascii="Calibri" w:hAnsi="Calibri" w:eastAsia="宋体" w:cs="Times New Roman"/>
    </w:rPr>
  </w:style>
  <w:style w:type="paragraph" w:customStyle="1" w:styleId="255">
    <w:name w:val="列出段落1"/>
    <w:basedOn w:val="1"/>
    <w:qFormat/>
    <w:uiPriority w:val="0"/>
    <w:pPr>
      <w:spacing w:line="240" w:lineRule="auto"/>
      <w:ind w:firstLine="420"/>
    </w:pPr>
    <w:rPr>
      <w:rFonts w:ascii="Times New Roman" w:hAnsi="Times New Roman" w:eastAsia="宋体" w:cs="Times New Roman"/>
      <w:szCs w:val="24"/>
    </w:rPr>
  </w:style>
  <w:style w:type="paragraph" w:customStyle="1" w:styleId="256">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7">
    <w:name w:val="TOC 标题1"/>
    <w:basedOn w:val="187"/>
    <w:next w:val="1"/>
    <w:unhideWhenUsed/>
    <w:qFormat/>
    <w:uiPriority w:val="39"/>
    <w:pPr>
      <w:widowControl/>
      <w:spacing w:before="240" w:after="0" w:line="259" w:lineRule="auto"/>
      <w:jc w:val="left"/>
      <w:outlineLvl w:val="9"/>
    </w:pPr>
    <w:rPr>
      <w:rFonts w:ascii="Cambria" w:hAnsi="Cambria" w:eastAsia="宋体" w:cs="Times New Roman"/>
      <w:b w:val="0"/>
      <w:bCs w:val="0"/>
      <w:color w:val="365F91"/>
      <w:sz w:val="32"/>
      <w:szCs w:val="32"/>
    </w:rPr>
  </w:style>
  <w:style w:type="paragraph" w:customStyle="1" w:styleId="258">
    <w:name w:val="Normal_0"/>
    <w:qFormat/>
    <w:uiPriority w:val="0"/>
    <w:pPr>
      <w:widowControl w:val="0"/>
      <w:jc w:val="both"/>
    </w:pPr>
    <w:rPr>
      <w:rFonts w:hint="default" w:ascii="等线" w:hAnsi="等线" w:eastAsia="等线" w:cs="Times New Roman"/>
      <w:lang w:val="en-US" w:eastAsia="zh-CN" w:bidi="ar-SA"/>
    </w:rPr>
  </w:style>
  <w:style w:type="paragraph" w:customStyle="1" w:styleId="259">
    <w:name w:val="Normal_1"/>
    <w:qFormat/>
    <w:uiPriority w:val="0"/>
    <w:pPr>
      <w:widowControl w:val="0"/>
      <w:jc w:val="both"/>
    </w:pPr>
    <w:rPr>
      <w:rFonts w:hint="default" w:ascii="Times New Roman" w:hAnsi="Times New Roman" w:eastAsia="宋体" w:cs="Times New Roman"/>
      <w:lang w:val="en-US" w:eastAsia="zh-CN" w:bidi="ar-SA"/>
    </w:rPr>
  </w:style>
  <w:style w:type="character" w:customStyle="1" w:styleId="260">
    <w:name w:val="titlebody"/>
    <w:link w:val="1"/>
    <w:qFormat/>
    <w:uiPriority w:val="0"/>
    <w:rPr>
      <w:rFonts w:ascii="宋体" w:hAnsi="宋体" w:eastAsia="宋体" w:cs="宋体"/>
      <w:b/>
      <w:bCs/>
      <w:color w:val="000000"/>
      <w:sz w:val="24"/>
      <w:szCs w:val="24"/>
    </w:rPr>
  </w:style>
  <w:style w:type="paragraph" w:customStyle="1" w:styleId="261">
    <w:name w:val="Normal_2"/>
    <w:qFormat/>
    <w:uiPriority w:val="0"/>
    <w:rPr>
      <w:rFonts w:hint="default" w:ascii="Times New Roman" w:hAnsi="Times New Roman" w:eastAsia="Times New Roman" w:cs="Times New Roman"/>
      <w:sz w:val="24"/>
      <w:szCs w:val="24"/>
      <w:lang w:bidi="ar-SA"/>
    </w:rPr>
  </w:style>
  <w:style w:type="paragraph" w:customStyle="1" w:styleId="262">
    <w:name w:val="Normal_3"/>
    <w:qFormat/>
    <w:uiPriority w:val="0"/>
    <w:rPr>
      <w:rFonts w:hint="default" w:ascii="Times New Roman" w:hAnsi="Times New Roman" w:eastAsia="Times New Roman" w:cs="Times New Roman"/>
      <w:sz w:val="24"/>
      <w:szCs w:val="24"/>
      <w:lang w:bidi="ar-SA"/>
    </w:rPr>
  </w:style>
  <w:style w:type="paragraph" w:customStyle="1" w:styleId="263">
    <w:name w:val="Normal_4"/>
    <w:qFormat/>
    <w:uiPriority w:val="0"/>
    <w:rPr>
      <w:rFonts w:hint="default" w:ascii="Times New Roman" w:hAnsi="Times New Roman" w:eastAsia="Times New Roman" w:cs="Times New Roman"/>
      <w:sz w:val="24"/>
      <w:szCs w:val="24"/>
      <w:lang w:bidi="ar-SA"/>
    </w:rPr>
  </w:style>
  <w:style w:type="paragraph" w:customStyle="1" w:styleId="264">
    <w:name w:val="Normal_5"/>
    <w:qFormat/>
    <w:uiPriority w:val="0"/>
    <w:rPr>
      <w:rFonts w:hint="default" w:ascii="Times New Roman" w:hAnsi="Times New Roman" w:eastAsia="Times New Roman" w:cs="Times New Roman"/>
      <w:sz w:val="24"/>
      <w:szCs w:val="24"/>
      <w:lang w:bidi="ar-SA"/>
    </w:rPr>
  </w:style>
  <w:style w:type="paragraph" w:customStyle="1" w:styleId="265">
    <w:name w:val="Normal_6"/>
    <w:qFormat/>
    <w:uiPriority w:val="0"/>
    <w:rPr>
      <w:rFonts w:hint="default" w:ascii="Times New Roman" w:hAnsi="Times New Roman" w:eastAsia="Times New Roman" w:cs="Times New Roman"/>
      <w:sz w:val="24"/>
      <w:szCs w:val="24"/>
      <w:lang w:bidi="ar-SA"/>
    </w:rPr>
  </w:style>
  <w:style w:type="paragraph" w:customStyle="1" w:styleId="266">
    <w:name w:val="Normal_7"/>
    <w:qFormat/>
    <w:uiPriority w:val="0"/>
    <w:rPr>
      <w:rFonts w:hint="default" w:ascii="Times New Roman" w:hAnsi="Times New Roman" w:eastAsia="Times New Roman" w:cs="Times New Roman"/>
      <w:sz w:val="24"/>
      <w:szCs w:val="24"/>
      <w:lang w:bidi="ar-SA"/>
    </w:rPr>
  </w:style>
  <w:style w:type="paragraph" w:customStyle="1" w:styleId="267">
    <w:name w:val="Normal_8"/>
    <w:qFormat/>
    <w:uiPriority w:val="0"/>
    <w:rPr>
      <w:rFonts w:hint="default" w:ascii="Times New Roman" w:hAnsi="Times New Roman" w:eastAsia="Times New Roman" w:cs="Times New Roman"/>
      <w:sz w:val="24"/>
      <w:szCs w:val="24"/>
      <w:lang w:bidi="ar-SA"/>
    </w:rPr>
  </w:style>
  <w:style w:type="paragraph" w:customStyle="1" w:styleId="268">
    <w:name w:val="Normal_0_0"/>
    <w:qFormat/>
    <w:uiPriority w:val="0"/>
    <w:rPr>
      <w:rFonts w:hint="default" w:ascii="Times New Roman" w:hAnsi="Times New Roman" w:eastAsia="Times New Roman" w:cs="Times New Roman"/>
      <w:sz w:val="24"/>
      <w:szCs w:val="24"/>
      <w:lang w:bidi="ar-SA"/>
    </w:rPr>
  </w:style>
  <w:style w:type="paragraph" w:customStyle="1" w:styleId="269">
    <w:name w:val="Normal_1_0"/>
    <w:qFormat/>
    <w:uiPriority w:val="0"/>
    <w:rPr>
      <w:rFonts w:hint="default" w:ascii="Times New Roman" w:hAnsi="Times New Roman" w:eastAsia="Times New Roman" w:cs="Times New Roman"/>
      <w:sz w:val="24"/>
      <w:szCs w:val="24"/>
      <w:lang w:bidi="ar-SA"/>
    </w:rPr>
  </w:style>
  <w:style w:type="paragraph" w:customStyle="1" w:styleId="270">
    <w:name w:val="Normal_2_0"/>
    <w:qFormat/>
    <w:uiPriority w:val="0"/>
    <w:rPr>
      <w:rFonts w:hint="default" w:ascii="Times New Roman" w:hAnsi="Times New Roman" w:eastAsia="Times New Roman" w:cs="Times New Roman"/>
      <w:sz w:val="24"/>
      <w:szCs w:val="24"/>
      <w:lang w:bidi="ar-SA"/>
    </w:rPr>
  </w:style>
  <w:style w:type="paragraph" w:customStyle="1" w:styleId="271">
    <w:name w:val="Normal_3_0"/>
    <w:qFormat/>
    <w:uiPriority w:val="0"/>
    <w:rPr>
      <w:rFonts w:hint="default" w:ascii="Times New Roman" w:hAnsi="Times New Roman" w:eastAsia="Times New Roman" w:cs="Times New Roman"/>
      <w:sz w:val="24"/>
      <w:szCs w:val="24"/>
      <w:lang w:bidi="ar-SA"/>
    </w:rPr>
  </w:style>
  <w:style w:type="paragraph" w:customStyle="1" w:styleId="272">
    <w:name w:val="Normal_4_0"/>
    <w:qFormat/>
    <w:uiPriority w:val="0"/>
    <w:rPr>
      <w:rFonts w:hint="default" w:ascii="Times New Roman" w:hAnsi="Times New Roman" w:eastAsia="Times New Roman" w:cs="Times New Roman"/>
      <w:sz w:val="24"/>
      <w:szCs w:val="24"/>
      <w:lang w:bidi="ar-SA"/>
    </w:rPr>
  </w:style>
  <w:style w:type="paragraph" w:customStyle="1" w:styleId="273">
    <w:name w:val="Normal_5_0"/>
    <w:qFormat/>
    <w:uiPriority w:val="0"/>
    <w:rPr>
      <w:rFonts w:hint="default" w:ascii="Times New Roman" w:hAnsi="Times New Roman" w:eastAsia="Times New Roman" w:cs="Times New Roman"/>
      <w:sz w:val="24"/>
      <w:szCs w:val="24"/>
      <w:lang w:bidi="ar-SA"/>
    </w:rPr>
  </w:style>
  <w:style w:type="paragraph" w:customStyle="1" w:styleId="274">
    <w:name w:val="Normal_6_0"/>
    <w:qFormat/>
    <w:uiPriority w:val="0"/>
    <w:rPr>
      <w:rFonts w:hint="default" w:ascii="Times New Roman" w:hAnsi="Times New Roman" w:eastAsia="Times New Roman" w:cs="Times New Roman"/>
      <w:sz w:val="24"/>
      <w:szCs w:val="24"/>
      <w:lang w:bidi="ar-SA"/>
    </w:rPr>
  </w:style>
  <w:style w:type="paragraph" w:customStyle="1" w:styleId="275">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76">
    <w:name w:val="Normal_7_0"/>
    <w:qFormat/>
    <w:uiPriority w:val="0"/>
    <w:rPr>
      <w:rFonts w:hint="default" w:ascii="Times New Roman" w:hAnsi="Times New Roman" w:eastAsia="Times New Roman" w:cs="Times New Roman"/>
      <w:sz w:val="24"/>
      <w:szCs w:val="24"/>
      <w:lang w:bidi="ar-SA"/>
    </w:rPr>
  </w:style>
  <w:style w:type="paragraph" w:customStyle="1" w:styleId="277">
    <w:name w:val="Normal_8_0"/>
    <w:qFormat/>
    <w:uiPriority w:val="0"/>
    <w:rPr>
      <w:rFonts w:hint="default" w:ascii="Times New Roman" w:hAnsi="Times New Roman" w:eastAsia="Times New Roman" w:cs="Times New Roman"/>
      <w:sz w:val="24"/>
      <w:szCs w:val="24"/>
      <w:lang w:bidi="ar-SA"/>
    </w:rPr>
  </w:style>
  <w:style w:type="paragraph" w:customStyle="1" w:styleId="278">
    <w:name w:val="Normal_9"/>
    <w:qFormat/>
    <w:uiPriority w:val="0"/>
    <w:rPr>
      <w:rFonts w:hint="default" w:ascii="Times New Roman" w:hAnsi="Times New Roman" w:eastAsia="Times New Roman" w:cs="Times New Roman"/>
      <w:sz w:val="24"/>
      <w:szCs w:val="24"/>
      <w:lang w:bidi="ar-SA"/>
    </w:rPr>
  </w:style>
  <w:style w:type="paragraph" w:customStyle="1" w:styleId="279">
    <w:name w:val="Normal_10"/>
    <w:qFormat/>
    <w:uiPriority w:val="0"/>
    <w:rPr>
      <w:rFonts w:hint="default" w:ascii="Times New Roman" w:hAnsi="Times New Roman" w:eastAsia="Times New Roman" w:cs="Times New Roman"/>
      <w:sz w:val="24"/>
      <w:szCs w:val="24"/>
      <w:lang w:bidi="ar-SA"/>
    </w:rPr>
  </w:style>
  <w:style w:type="paragraph" w:customStyle="1" w:styleId="280">
    <w:name w:val="Normal_11"/>
    <w:qFormat/>
    <w:uiPriority w:val="0"/>
    <w:rPr>
      <w:rFonts w:hint="default" w:ascii="Times New Roman" w:hAnsi="Times New Roman" w:eastAsia="Times New Roman" w:cs="Times New Roman"/>
      <w:sz w:val="24"/>
      <w:szCs w:val="24"/>
      <w:lang w:bidi="ar-SA"/>
    </w:rPr>
  </w:style>
  <w:style w:type="paragraph" w:customStyle="1" w:styleId="281">
    <w:name w:val="正文_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82">
    <w:name w:val="Normal_12"/>
    <w:qFormat/>
    <w:uiPriority w:val="0"/>
    <w:rPr>
      <w:rFonts w:hint="default" w:ascii="Times New Roman" w:hAnsi="Times New Roman" w:eastAsia="Times New Roman" w:cs="Times New Roman"/>
      <w:sz w:val="24"/>
      <w:szCs w:val="24"/>
      <w:lang w:bidi="ar-SA"/>
    </w:rPr>
  </w:style>
  <w:style w:type="paragraph" w:customStyle="1" w:styleId="283">
    <w:name w:val="Normal_14"/>
    <w:qFormat/>
    <w:uiPriority w:val="0"/>
    <w:rPr>
      <w:rFonts w:hint="default" w:ascii="Times New Roman" w:hAnsi="Times New Roman" w:eastAsia="Times New Roman" w:cs="Times New Roman"/>
      <w:sz w:val="24"/>
      <w:szCs w:val="24"/>
      <w:lang w:bidi="ar-SA"/>
    </w:rPr>
  </w:style>
  <w:style w:type="paragraph" w:customStyle="1" w:styleId="284">
    <w:name w:val="Normal_12_0"/>
    <w:qFormat/>
    <w:uiPriority w:val="0"/>
    <w:rPr>
      <w:rFonts w:hint="default" w:ascii="Times New Roman" w:hAnsi="Times New Roman" w:eastAsia="Times New Roman" w:cs="Times New Roman"/>
      <w:sz w:val="24"/>
      <w:szCs w:val="24"/>
      <w:lang w:bidi="ar-SA"/>
    </w:rPr>
  </w:style>
  <w:style w:type="paragraph" w:customStyle="1" w:styleId="285">
    <w:name w:val="正文_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86">
    <w:name w:val="Normal_15"/>
    <w:qFormat/>
    <w:uiPriority w:val="0"/>
    <w:rPr>
      <w:rFonts w:hint="default" w:ascii="Times New Roman" w:hAnsi="Times New Roman" w:eastAsia="Times New Roman" w:cs="Times New Roman"/>
      <w:sz w:val="24"/>
      <w:szCs w:val="24"/>
      <w:lang w:bidi="ar-SA"/>
    </w:rPr>
  </w:style>
  <w:style w:type="paragraph" w:customStyle="1" w:styleId="287">
    <w:name w:val="Normal_16"/>
    <w:qFormat/>
    <w:uiPriority w:val="0"/>
    <w:rPr>
      <w:rFonts w:hint="default" w:ascii="Times New Roman" w:hAnsi="Times New Roman" w:eastAsia="Times New Roman" w:cs="Times New Roman"/>
      <w:sz w:val="24"/>
      <w:szCs w:val="24"/>
      <w:lang w:bidi="ar-SA"/>
    </w:rPr>
  </w:style>
  <w:style w:type="paragraph" w:customStyle="1" w:styleId="288">
    <w:name w:val="Normal_17"/>
    <w:qFormat/>
    <w:uiPriority w:val="0"/>
    <w:rPr>
      <w:rFonts w:hint="default" w:ascii="Times New Roman" w:hAnsi="Times New Roman" w:eastAsia="Times New Roman" w:cs="Times New Roman"/>
      <w:sz w:val="24"/>
      <w:szCs w:val="24"/>
      <w:lang w:bidi="ar-SA"/>
    </w:rPr>
  </w:style>
  <w:style w:type="paragraph" w:customStyle="1" w:styleId="289">
    <w:name w:val="正文_7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0">
    <w:name w:val="Normal_18"/>
    <w:qFormat/>
    <w:uiPriority w:val="0"/>
    <w:rPr>
      <w:rFonts w:hint="default" w:ascii="Times New Roman" w:hAnsi="Times New Roman" w:eastAsia="Times New Roman" w:cs="Times New Roman"/>
      <w:sz w:val="24"/>
      <w:szCs w:val="24"/>
      <w:lang w:bidi="ar-SA"/>
    </w:rPr>
  </w:style>
  <w:style w:type="paragraph" w:customStyle="1" w:styleId="291">
    <w:name w:val="Normal_19"/>
    <w:qFormat/>
    <w:uiPriority w:val="0"/>
    <w:rPr>
      <w:rFonts w:hint="default" w:ascii="Times New Roman" w:hAnsi="Times New Roman" w:eastAsia="Times New Roman" w:cs="Times New Roman"/>
      <w:sz w:val="24"/>
      <w:szCs w:val="24"/>
      <w:lang w:bidi="ar-SA"/>
    </w:rPr>
  </w:style>
  <w:style w:type="paragraph" w:customStyle="1" w:styleId="292">
    <w:name w:val="正文_1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3">
    <w:name w:val="Normal_20"/>
    <w:qFormat/>
    <w:uiPriority w:val="0"/>
    <w:rPr>
      <w:rFonts w:hint="default" w:ascii="Times New Roman" w:hAnsi="Times New Roman" w:eastAsia="Times New Roman" w:cs="Times New Roman"/>
      <w:sz w:val="24"/>
      <w:szCs w:val="24"/>
      <w:lang w:bidi="ar-SA"/>
    </w:rPr>
  </w:style>
  <w:style w:type="paragraph" w:customStyle="1" w:styleId="294">
    <w:name w:val="正文_9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5">
    <w:name w:val="Normal_21"/>
    <w:qFormat/>
    <w:uiPriority w:val="0"/>
    <w:rPr>
      <w:rFonts w:hint="default" w:ascii="Times New Roman" w:hAnsi="Times New Roman" w:eastAsia="Times New Roman" w:cs="Times New Roman"/>
      <w:sz w:val="24"/>
      <w:szCs w:val="24"/>
      <w:lang w:bidi="ar-SA"/>
    </w:rPr>
  </w:style>
  <w:style w:type="paragraph" w:customStyle="1" w:styleId="296">
    <w:name w:val="正文_1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7">
    <w:name w:val="Normal_22"/>
    <w:qFormat/>
    <w:uiPriority w:val="0"/>
    <w:rPr>
      <w:rFonts w:hint="default" w:ascii="Times New Roman" w:hAnsi="Times New Roman" w:eastAsia="Times New Roman" w:cs="Times New Roman"/>
      <w:sz w:val="24"/>
      <w:szCs w:val="24"/>
      <w:lang w:bidi="ar-SA"/>
    </w:rPr>
  </w:style>
  <w:style w:type="paragraph" w:customStyle="1" w:styleId="298">
    <w:name w:val="Normal_23"/>
    <w:qFormat/>
    <w:uiPriority w:val="0"/>
    <w:rPr>
      <w:rFonts w:hint="default" w:ascii="Times New Roman" w:hAnsi="Times New Roman" w:eastAsia="Times New Roman" w:cs="Times New Roman"/>
      <w:sz w:val="24"/>
      <w:szCs w:val="24"/>
      <w:lang w:bidi="ar-SA"/>
    </w:rPr>
  </w:style>
  <w:style w:type="paragraph" w:customStyle="1" w:styleId="299">
    <w:name w:val="Normal_24"/>
    <w:qFormat/>
    <w:uiPriority w:val="0"/>
    <w:rPr>
      <w:rFonts w:hint="default" w:ascii="Times New Roman" w:hAnsi="Times New Roman" w:eastAsia="Times New Roman" w:cs="Times New Roman"/>
      <w:sz w:val="24"/>
      <w:szCs w:val="24"/>
      <w:lang w:bidi="ar-SA"/>
    </w:rPr>
  </w:style>
  <w:style w:type="paragraph" w:customStyle="1" w:styleId="300">
    <w:name w:val="正文_1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1">
    <w:name w:val="Normal_25"/>
    <w:qFormat/>
    <w:uiPriority w:val="0"/>
    <w:rPr>
      <w:rFonts w:hint="default" w:ascii="Times New Roman" w:hAnsi="Times New Roman" w:eastAsia="Times New Roman" w:cs="Times New Roman"/>
      <w:sz w:val="24"/>
      <w:szCs w:val="24"/>
      <w:lang w:bidi="ar-SA"/>
    </w:rPr>
  </w:style>
  <w:style w:type="paragraph" w:customStyle="1" w:styleId="302">
    <w:name w:val="正文_14"/>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3">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304">
    <w:name w:val="Normal_27"/>
    <w:qFormat/>
    <w:uiPriority w:val="0"/>
    <w:rPr>
      <w:rFonts w:hint="default" w:ascii="Times New Roman" w:hAnsi="Times New Roman" w:eastAsia="Times New Roman" w:cs="Times New Roman"/>
      <w:sz w:val="24"/>
      <w:szCs w:val="24"/>
      <w:lang w:bidi="ar-SA"/>
    </w:rPr>
  </w:style>
  <w:style w:type="paragraph" w:customStyle="1" w:styleId="305">
    <w:name w:val="Normal_28"/>
    <w:qFormat/>
    <w:uiPriority w:val="0"/>
    <w:rPr>
      <w:rFonts w:hint="default" w:ascii="Times New Roman" w:hAnsi="Times New Roman" w:eastAsia="Times New Roman" w:cs="Times New Roman"/>
      <w:sz w:val="24"/>
      <w:szCs w:val="24"/>
      <w:lang w:bidi="ar-SA"/>
    </w:rPr>
  </w:style>
  <w:style w:type="paragraph" w:customStyle="1" w:styleId="306">
    <w:name w:val="正文_1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7">
    <w:name w:val="正文_1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08">
    <w:name w:val="Normal_29"/>
    <w:qFormat/>
    <w:uiPriority w:val="0"/>
    <w:rPr>
      <w:rFonts w:hint="default" w:ascii="Times New Roman" w:hAnsi="Times New Roman" w:eastAsia="Times New Roman" w:cs="Times New Roman"/>
      <w:sz w:val="24"/>
      <w:szCs w:val="24"/>
      <w:lang w:bidi="ar-SA"/>
    </w:rPr>
  </w:style>
  <w:style w:type="paragraph" w:customStyle="1" w:styleId="309">
    <w:name w:val="Normal_30"/>
    <w:qFormat/>
    <w:uiPriority w:val="0"/>
    <w:rPr>
      <w:rFonts w:hint="default" w:ascii="Times New Roman" w:hAnsi="Times New Roman" w:eastAsia="Times New Roman" w:cs="Times New Roman"/>
      <w:sz w:val="24"/>
      <w:szCs w:val="24"/>
      <w:lang w:bidi="ar-SA"/>
    </w:rPr>
  </w:style>
  <w:style w:type="paragraph" w:customStyle="1" w:styleId="310">
    <w:name w:val="正文_1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11">
    <w:name w:val="正文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12">
    <w:name w:val="正文_17_0"/>
    <w:qFormat/>
    <w:uiPriority w:val="0"/>
    <w:pPr>
      <w:widowControl w:val="0"/>
      <w:jc w:val="both"/>
    </w:pPr>
    <w:rPr>
      <w:rFonts w:hint="default" w:ascii="Times New Roman" w:hAnsi="Times New Roman" w:eastAsia="宋体" w:cs="Times New Roman"/>
      <w:sz w:val="21"/>
      <w:szCs w:val="22"/>
      <w:lang w:val="en-US" w:eastAsia="zh-CN" w:bidi="ar-SA"/>
    </w:rPr>
  </w:style>
  <w:style w:type="table" w:customStyle="1" w:styleId="313">
    <w:name w:val="Table Normal"/>
    <w:unhideWhenUsed/>
    <w:qFormat/>
    <w:uiPriority w:val="0"/>
    <w:rPr>
      <w:lang w:val="en-US" w:eastAsia="zh-CN" w:bidi="ar-SA"/>
    </w:rPr>
  </w:style>
  <w:style w:type="paragraph" w:customStyle="1" w:styleId="314">
    <w:name w:val="Normal_31"/>
    <w:qFormat/>
    <w:uiPriority w:val="0"/>
    <w:rPr>
      <w:rFonts w:hint="default" w:ascii="Times New Roman" w:hAnsi="Times New Roman" w:eastAsia="Times New Roman" w:cs="Times New Roman"/>
      <w:sz w:val="24"/>
      <w:szCs w:val="24"/>
      <w:lang w:bidi="ar-SA"/>
    </w:rPr>
  </w:style>
  <w:style w:type="paragraph" w:customStyle="1" w:styleId="315">
    <w:name w:val="Normal_32"/>
    <w:qFormat/>
    <w:uiPriority w:val="0"/>
    <w:pPr>
      <w:widowControl w:val="0"/>
      <w:jc w:val="both"/>
    </w:pPr>
    <w:rPr>
      <w:rFonts w:hint="default" w:ascii="Times New Roman" w:hAnsi="Times New Roman" w:eastAsia="宋体" w:cs="Times New Roman"/>
      <w:sz w:val="21"/>
      <w:szCs w:val="22"/>
      <w:lang w:bidi="ar-SA"/>
    </w:rPr>
  </w:style>
  <w:style w:type="paragraph" w:customStyle="1" w:styleId="316">
    <w:name w:val="Normal Indent_0"/>
    <w:basedOn w:val="315"/>
    <w:link w:val="317"/>
    <w:qFormat/>
    <w:uiPriority w:val="0"/>
    <w:pPr>
      <w:ind w:firstLine="420"/>
      <w:jc w:val="left"/>
    </w:pPr>
    <w:rPr>
      <w:rFonts w:ascii="楷体" w:hAnsi="Tms Rmn" w:eastAsia="楷体"/>
      <w:b/>
      <w:sz w:val="32"/>
      <w:szCs w:val="20"/>
    </w:rPr>
  </w:style>
  <w:style w:type="character" w:customStyle="1" w:styleId="317">
    <w:name w:val="正文缩进 字符_0"/>
    <w:link w:val="316"/>
    <w:qFormat/>
    <w:uiPriority w:val="0"/>
    <w:rPr>
      <w:rFonts w:ascii="楷体" w:hAnsi="Tms Rmn" w:eastAsia="楷体"/>
      <w:b/>
      <w:sz w:val="32"/>
    </w:rPr>
  </w:style>
  <w:style w:type="character" w:customStyle="1" w:styleId="318">
    <w:name w:val="未处理的提及"/>
    <w:link w:val="1"/>
    <w:unhideWhenUsed/>
    <w:qFormat/>
    <w:uiPriority w:val="99"/>
    <w:rPr>
      <w:color w:val="605E5C"/>
      <w:shd w:val="clear" w:color="auto" w:fill="E1DFDD"/>
    </w:rPr>
  </w:style>
  <w:style w:type="character" w:customStyle="1" w:styleId="319">
    <w:name w:val="custom-tag-placeholder-class"/>
    <w:basedOn w:val="191"/>
    <w:link w:val="1"/>
    <w:qFormat/>
    <w:uiPriority w:val="0"/>
  </w:style>
  <w:style w:type="character" w:customStyle="1" w:styleId="320">
    <w:name w:val="超链接1"/>
    <w:link w:val="1"/>
    <w:qFormat/>
    <w:uiPriority w:val="99"/>
    <w:rPr>
      <w:sz w:val="21"/>
      <w:szCs w:val="22"/>
      <w:lang w:val="en-US" w:eastAsia="zh-CN" w:bidi="ar-SA"/>
    </w:rPr>
  </w:style>
  <w:style w:type="paragraph" w:customStyle="1" w:styleId="321">
    <w:name w:val="标题二级"/>
    <w:basedOn w:val="1"/>
    <w:qFormat/>
    <w:uiPriority w:val="0"/>
    <w:pPr>
      <w:spacing w:after="160" w:line="259" w:lineRule="auto"/>
      <w:ind w:firstLine="412"/>
    </w:pPr>
    <w:rPr>
      <w:rFonts w:ascii="宋体" w:hAnsi="宋体"/>
      <w:szCs w:val="21"/>
    </w:rPr>
  </w:style>
  <w:style w:type="paragraph" w:customStyle="1" w:styleId="322">
    <w:name w:val="页眉1"/>
    <w:basedOn w:val="1"/>
    <w:unhideWhenUsed/>
    <w:qFormat/>
    <w:uiPriority w:val="99"/>
    <w:pPr>
      <w:pBdr>
        <w:bottom w:val="single" w:color="000000" w:sz="6" w:space="1"/>
      </w:pBdr>
      <w:tabs>
        <w:tab w:val="center" w:pos="4153"/>
        <w:tab w:val="right" w:pos="8306"/>
      </w:tabs>
      <w:spacing w:line="240" w:lineRule="atLeast"/>
      <w:jc w:val="center"/>
    </w:pPr>
    <w:rPr>
      <w:sz w:val="18"/>
      <w:szCs w:val="18"/>
    </w:rPr>
  </w:style>
  <w:style w:type="paragraph" w:customStyle="1" w:styleId="323">
    <w:name w:val="页脚1"/>
    <w:basedOn w:val="1"/>
    <w:unhideWhenUsed/>
    <w:qFormat/>
    <w:uiPriority w:val="99"/>
    <w:pPr>
      <w:tabs>
        <w:tab w:val="center" w:pos="4153"/>
        <w:tab w:val="right" w:pos="8306"/>
      </w:tabs>
      <w:spacing w:line="240" w:lineRule="atLeast"/>
      <w:jc w:val="left"/>
    </w:pPr>
    <w:rPr>
      <w:sz w:val="18"/>
      <w:szCs w:val="18"/>
    </w:rPr>
  </w:style>
  <w:style w:type="paragraph" w:customStyle="1" w:styleId="324">
    <w:name w:val="AAA"/>
    <w:basedOn w:val="1"/>
    <w:qFormat/>
    <w:uiPriority w:val="0"/>
    <w:pPr>
      <w:spacing w:line="360" w:lineRule="auto"/>
      <w:ind w:firstLine="200"/>
    </w:pPr>
    <w:rPr>
      <w:rFonts w:ascii="宋体" w:hAnsi="宋体" w:eastAsia="Arial"/>
      <w:sz w:val="28"/>
    </w:rPr>
  </w:style>
  <w:style w:type="paragraph" w:customStyle="1" w:styleId="325">
    <w:name w:val="正文-1"/>
    <w:basedOn w:val="1"/>
    <w:qFormat/>
    <w:uiPriority w:val="0"/>
    <w:pPr>
      <w:spacing w:line="360" w:lineRule="auto"/>
      <w:ind w:firstLine="420"/>
      <w:jc w:val="left"/>
    </w:pPr>
    <w:rPr>
      <w:rFonts w:eastAsia="Arial"/>
      <w:szCs w:val="21"/>
    </w:rPr>
  </w:style>
  <w:style w:type="paragraph" w:customStyle="1" w:styleId="326">
    <w:name w:val="A正文"/>
    <w:basedOn w:val="1"/>
    <w:qFormat/>
    <w:uiPriority w:val="0"/>
    <w:pPr>
      <w:ind w:firstLine="200"/>
    </w:pPr>
    <w:rPr>
      <w:rFonts w:ascii="Times New Roman" w:hAnsi="Times New Roman" w:eastAsia="宋体" w:cs="Times New Roman"/>
      <w:sz w:val="28"/>
      <w:szCs w:val="28"/>
    </w:rPr>
  </w:style>
  <w:style w:type="paragraph" w:customStyle="1" w:styleId="327">
    <w:name w:val="正文（缩进）"/>
    <w:basedOn w:val="1"/>
    <w:qFormat/>
    <w:uiPriority w:val="0"/>
    <w:pPr>
      <w:ind w:firstLine="480" w:firstLineChars="200"/>
    </w:pPr>
  </w:style>
  <w:style w:type="paragraph" w:customStyle="1" w:styleId="328">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Ho</Company>
  <Pages>85</Pages>
  <Words>5860</Words>
  <Characters>6705</Characters>
  <TotalTime>28</TotalTime>
  <ScaleCrop>false</ScaleCrop>
  <LinksUpToDate>false</LinksUpToDate>
  <CharactersWithSpaces>6964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2022-11-02T01:13:00Z</dcterms:created>
  <dc:creator>云中</dc:creator>
  <cp:lastModifiedBy>云中飞絮</cp:lastModifiedBy>
  <cp:lastPrinted>2025-11-25T01:33:24Z</cp:lastPrinted>
  <dcterms:modified xsi:type="dcterms:W3CDTF">2025-11-25T02:16:50Z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eyJoZGlkIjoiYzZjYTg5YzJhMTY2OTY0Y2IxZTcwNDUwMDU5N2FmZjgiLCJ1c2VySWQiOiIzOTA4NjA5NjYifQ==</vt:lpwstr>
  </property>
  <property fmtid="{D5CDD505-2E9C-101B-9397-08002B2CF9AE}" pid="3" name="KSOProductBuildVer">
    <vt:lpwstr>2052-12.1.0.23542</vt:lpwstr>
  </property>
  <property fmtid="{D5CDD505-2E9C-101B-9397-08002B2CF9AE}" pid="4" name="ICV">
    <vt:lpwstr>EE0954575D224DEAB7491E2261C72999_12</vt:lpwstr>
  </property>
</Properties>
</file>